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8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9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theme/themeOverride1.xml" ContentType="application/vnd.openxmlformats-officedocument.themeOverride+xml"/>
  <Override PartName="/word/charts/chart10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theme/themeOverride2.xml" ContentType="application/vnd.openxmlformats-officedocument.themeOverride+xml"/>
  <Override PartName="/word/charts/chart11.xml" ContentType="application/vnd.openxmlformats-officedocument.drawingml.chart+xml"/>
  <Override PartName="/word/charts/style10.xml" ContentType="application/vnd.ms-office.chartstyle+xml"/>
  <Override PartName="/word/charts/colors10.xml" ContentType="application/vnd.ms-office.chartcolorstyle+xml"/>
  <Override PartName="/word/theme/themeOverride3.xml" ContentType="application/vnd.openxmlformats-officedocument.themeOverride+xml"/>
  <Override PartName="/word/charts/chart12.xml" ContentType="application/vnd.openxmlformats-officedocument.drawingml.chart+xml"/>
  <Override PartName="/word/charts/style11.xml" ContentType="application/vnd.ms-office.chartstyle+xml"/>
  <Override PartName="/word/charts/colors11.xml" ContentType="application/vnd.ms-office.chartcolorstyle+xml"/>
  <Override PartName="/word/theme/themeOverride4.xml" ContentType="application/vnd.openxmlformats-officedocument.themeOverride+xml"/>
  <Override PartName="/word/charts/chart13.xml" ContentType="application/vnd.openxmlformats-officedocument.drawingml.chart+xml"/>
  <Override PartName="/word/charts/style12.xml" ContentType="application/vnd.ms-office.chartstyle+xml"/>
  <Override PartName="/word/charts/colors12.xml" ContentType="application/vnd.ms-office.chartcolorstyle+xml"/>
  <Override PartName="/word/theme/themeOverride5.xml" ContentType="application/vnd.openxmlformats-officedocument.themeOverride+xml"/>
  <Override PartName="/word/charts/chart14.xml" ContentType="application/vnd.openxmlformats-officedocument.drawingml.chart+xml"/>
  <Override PartName="/word/charts/style13.xml" ContentType="application/vnd.ms-office.chartstyle+xml"/>
  <Override PartName="/word/charts/colors13.xml" ContentType="application/vnd.ms-office.chartcolorstyle+xml"/>
  <Override PartName="/word/charts/chart15.xml" ContentType="application/vnd.openxmlformats-officedocument.drawingml.chart+xml"/>
  <Override PartName="/word/charts/style14.xml" ContentType="application/vnd.ms-office.chartstyle+xml"/>
  <Override PartName="/word/charts/colors14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A90BBC" w14:textId="77777777" w:rsidR="00BC5E29" w:rsidRPr="00BC5E29" w:rsidRDefault="00BC5E29" w:rsidP="00303B2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4B492FA" w14:textId="3BFFBB2D" w:rsidR="006803ED" w:rsidRPr="00831281" w:rsidRDefault="00831281" w:rsidP="00BC5E29">
      <w:pPr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1281">
        <w:rPr>
          <w:rFonts w:ascii="Times New Roman" w:hAnsi="Times New Roman" w:cs="Times New Roman"/>
          <w:b/>
          <w:bCs/>
          <w:sz w:val="24"/>
          <w:szCs w:val="24"/>
        </w:rPr>
        <w:t>Atvirų duomenų atvėrimo pažangos ir poveikio vertinimo apklausos apžvalga</w:t>
      </w:r>
    </w:p>
    <w:p w14:paraId="3E3B1EF2" w14:textId="77777777" w:rsidR="00BC5E29" w:rsidRPr="00BC5E29" w:rsidRDefault="00BC5E29" w:rsidP="00BC5E29">
      <w:pPr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14:paraId="620EE044" w14:textId="4C89920B" w:rsidR="006E249A" w:rsidRPr="00BC5E29" w:rsidRDefault="006E249A" w:rsidP="00303B21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 xml:space="preserve">Siekiant  įvertinti esamą duomenų atvėrimo progresą ir nustatyti </w:t>
      </w:r>
      <w:r w:rsidR="009B088F" w:rsidRPr="00BC5E29">
        <w:rPr>
          <w:rFonts w:ascii="Times New Roman" w:hAnsi="Times New Roman" w:cs="Times New Roman"/>
          <w:sz w:val="24"/>
          <w:szCs w:val="24"/>
        </w:rPr>
        <w:t xml:space="preserve"> esamą </w:t>
      </w:r>
      <w:r w:rsidRPr="00BC5E29">
        <w:rPr>
          <w:rFonts w:ascii="Times New Roman" w:hAnsi="Times New Roman" w:cs="Times New Roman"/>
          <w:sz w:val="24"/>
          <w:szCs w:val="24"/>
        </w:rPr>
        <w:t xml:space="preserve">duomenų atvėrimo </w:t>
      </w:r>
      <w:r w:rsidR="009B088F" w:rsidRPr="00BC5E29">
        <w:rPr>
          <w:rFonts w:ascii="Times New Roman" w:hAnsi="Times New Roman" w:cs="Times New Roman"/>
          <w:sz w:val="24"/>
          <w:szCs w:val="24"/>
        </w:rPr>
        <w:t xml:space="preserve">situaciją viešojo sektoriaus institucijose ir savivaldybėse, Ekonomikos ir inovacijų ministerija ir </w:t>
      </w:r>
      <w:r w:rsidRPr="00BC5E29">
        <w:rPr>
          <w:rFonts w:ascii="Times New Roman" w:hAnsi="Times New Roman" w:cs="Times New Roman"/>
          <w:sz w:val="24"/>
          <w:szCs w:val="24"/>
        </w:rPr>
        <w:t>Informacinės visuomenės plėtros komitet</w:t>
      </w:r>
      <w:r w:rsidR="009B088F" w:rsidRPr="00BC5E29">
        <w:rPr>
          <w:rFonts w:ascii="Times New Roman" w:hAnsi="Times New Roman" w:cs="Times New Roman"/>
          <w:sz w:val="24"/>
          <w:szCs w:val="24"/>
        </w:rPr>
        <w:t>as</w:t>
      </w:r>
      <w:r w:rsidRPr="00BC5E29">
        <w:rPr>
          <w:rFonts w:ascii="Times New Roman" w:hAnsi="Times New Roman" w:cs="Times New Roman"/>
          <w:sz w:val="24"/>
          <w:szCs w:val="24"/>
        </w:rPr>
        <w:t xml:space="preserve"> atlik</w:t>
      </w:r>
      <w:r w:rsidR="009B088F" w:rsidRPr="00BC5E29">
        <w:rPr>
          <w:rFonts w:ascii="Times New Roman" w:hAnsi="Times New Roman" w:cs="Times New Roman"/>
          <w:sz w:val="24"/>
          <w:szCs w:val="24"/>
        </w:rPr>
        <w:t xml:space="preserve">o </w:t>
      </w:r>
      <w:r w:rsidRPr="00BC5E29">
        <w:rPr>
          <w:rFonts w:ascii="Times New Roman" w:hAnsi="Times New Roman" w:cs="Times New Roman"/>
          <w:sz w:val="24"/>
          <w:szCs w:val="24"/>
        </w:rPr>
        <w:t xml:space="preserve">duomenų atvėrimo pažangos ir poveikio vertinimo </w:t>
      </w:r>
      <w:r w:rsidR="003F1D0C" w:rsidRPr="00BC5E29">
        <w:rPr>
          <w:rFonts w:ascii="Times New Roman" w:hAnsi="Times New Roman" w:cs="Times New Roman"/>
          <w:sz w:val="24"/>
          <w:szCs w:val="24"/>
        </w:rPr>
        <w:t>apklausą</w:t>
      </w:r>
      <w:r w:rsidRPr="00BC5E29">
        <w:rPr>
          <w:rFonts w:ascii="Times New Roman" w:hAnsi="Times New Roman" w:cs="Times New Roman"/>
          <w:sz w:val="24"/>
          <w:szCs w:val="24"/>
        </w:rPr>
        <w:t>.</w:t>
      </w:r>
    </w:p>
    <w:p w14:paraId="0AEFD35A" w14:textId="0FFAFAC4" w:rsidR="00B96F13" w:rsidRPr="00BC5E29" w:rsidRDefault="00B13CB0" w:rsidP="00303B21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6F13" w:rsidRPr="00BC5E29">
        <w:rPr>
          <w:rFonts w:ascii="Times New Roman" w:hAnsi="Times New Roman" w:cs="Times New Roman"/>
          <w:sz w:val="24"/>
          <w:szCs w:val="24"/>
        </w:rPr>
        <w:t>Apklausos vykdymo laikas</w:t>
      </w:r>
      <w:r w:rsidR="00D1271D" w:rsidRPr="00BC5E29">
        <w:rPr>
          <w:rFonts w:ascii="Times New Roman" w:hAnsi="Times New Roman" w:cs="Times New Roman"/>
          <w:sz w:val="24"/>
          <w:szCs w:val="24"/>
        </w:rPr>
        <w:t xml:space="preserve"> 2022 m. </w:t>
      </w:r>
      <w:r w:rsidR="006803ED" w:rsidRPr="00BC5E29">
        <w:rPr>
          <w:rFonts w:ascii="Times New Roman" w:hAnsi="Times New Roman" w:cs="Times New Roman"/>
          <w:sz w:val="24"/>
          <w:szCs w:val="24"/>
        </w:rPr>
        <w:t>gegužės-</w:t>
      </w:r>
      <w:r w:rsidR="00D1271D" w:rsidRPr="00BC5E29">
        <w:rPr>
          <w:rFonts w:ascii="Times New Roman" w:hAnsi="Times New Roman" w:cs="Times New Roman"/>
          <w:sz w:val="24"/>
          <w:szCs w:val="24"/>
        </w:rPr>
        <w:t xml:space="preserve">birželio mėn. </w:t>
      </w:r>
    </w:p>
    <w:p w14:paraId="1BB2C200" w14:textId="49625FBC" w:rsidR="003F1D0C" w:rsidRPr="00BC5E29" w:rsidRDefault="00D1271D" w:rsidP="003F1D0C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 xml:space="preserve">          Apklausoje </w:t>
      </w:r>
      <w:r w:rsidR="003F1D0C" w:rsidRPr="00BC5E29">
        <w:rPr>
          <w:rFonts w:ascii="Times New Roman" w:hAnsi="Times New Roman" w:cs="Times New Roman"/>
          <w:sz w:val="24"/>
          <w:szCs w:val="24"/>
        </w:rPr>
        <w:t>dalyvavo</w:t>
      </w:r>
      <w:r w:rsidR="003F1D0C" w:rsidRPr="00BC5E2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F1D0C" w:rsidRPr="00335ED7">
        <w:rPr>
          <w:rFonts w:ascii="Times New Roman" w:hAnsi="Times New Roman" w:cs="Times New Roman"/>
          <w:sz w:val="24"/>
          <w:szCs w:val="24"/>
        </w:rPr>
        <w:t>1</w:t>
      </w:r>
      <w:r w:rsidRPr="00335ED7">
        <w:rPr>
          <w:rFonts w:ascii="Times New Roman" w:hAnsi="Times New Roman" w:cs="Times New Roman"/>
          <w:sz w:val="24"/>
          <w:szCs w:val="24"/>
        </w:rPr>
        <w:t>65</w:t>
      </w:r>
      <w:r w:rsidR="003F1D0C" w:rsidRPr="00335ED7">
        <w:rPr>
          <w:rFonts w:ascii="Times New Roman" w:hAnsi="Times New Roman" w:cs="Times New Roman"/>
          <w:sz w:val="24"/>
          <w:szCs w:val="24"/>
        </w:rPr>
        <w:t xml:space="preserve"> valstybės ir savivaldybių institucijos ir įstaigos.</w:t>
      </w:r>
      <w:r w:rsidR="003F1D0C" w:rsidRPr="00BC5E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BE7302" w14:textId="4B841C2F" w:rsidR="006E249A" w:rsidRPr="00BC5E29" w:rsidRDefault="00B96F13" w:rsidP="00303B21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 xml:space="preserve">Apklausos </w:t>
      </w:r>
      <w:r w:rsidR="006E249A" w:rsidRPr="00BC5E29">
        <w:rPr>
          <w:rFonts w:ascii="Times New Roman" w:hAnsi="Times New Roman" w:cs="Times New Roman"/>
          <w:sz w:val="24"/>
          <w:szCs w:val="24"/>
        </w:rPr>
        <w:t xml:space="preserve">rezultatai rodo, kad </w:t>
      </w:r>
      <w:r w:rsidR="007C4BFA" w:rsidRPr="00BC5E29">
        <w:rPr>
          <w:rFonts w:ascii="Times New Roman" w:hAnsi="Times New Roman" w:cs="Times New Roman"/>
          <w:sz w:val="24"/>
          <w:szCs w:val="24"/>
        </w:rPr>
        <w:t>du trečdaliai</w:t>
      </w:r>
      <w:r w:rsidRPr="00BC5E29">
        <w:rPr>
          <w:rFonts w:ascii="Times New Roman" w:hAnsi="Times New Roman" w:cs="Times New Roman"/>
          <w:sz w:val="24"/>
          <w:szCs w:val="24"/>
        </w:rPr>
        <w:t xml:space="preserve"> apklausoje dalyvavusių</w:t>
      </w:r>
      <w:r w:rsidR="007C4BFA" w:rsidRPr="00BC5E29">
        <w:rPr>
          <w:rFonts w:ascii="Times New Roman" w:hAnsi="Times New Roman" w:cs="Times New Roman"/>
          <w:sz w:val="24"/>
          <w:szCs w:val="24"/>
        </w:rPr>
        <w:t xml:space="preserve"> </w:t>
      </w:r>
      <w:r w:rsidR="003978E2" w:rsidRPr="00BC5E29">
        <w:rPr>
          <w:rFonts w:ascii="Times New Roman" w:hAnsi="Times New Roman" w:cs="Times New Roman"/>
          <w:sz w:val="24"/>
          <w:szCs w:val="24"/>
        </w:rPr>
        <w:t>institucijų</w:t>
      </w:r>
      <w:r w:rsidR="00F106DE" w:rsidRPr="00BC5E29">
        <w:rPr>
          <w:rFonts w:ascii="Times New Roman" w:hAnsi="Times New Roman" w:cs="Times New Roman"/>
          <w:sz w:val="24"/>
          <w:szCs w:val="24"/>
        </w:rPr>
        <w:t xml:space="preserve"> ir savivaldybių</w:t>
      </w:r>
      <w:r w:rsidR="003978E2" w:rsidRPr="00BC5E29">
        <w:rPr>
          <w:rFonts w:ascii="Times New Roman" w:hAnsi="Times New Roman" w:cs="Times New Roman"/>
          <w:sz w:val="24"/>
          <w:szCs w:val="24"/>
        </w:rPr>
        <w:t xml:space="preserve"> atstovų yra susipažinę su duomenų atvėrimo iniciatyvomis, t.</w:t>
      </w:r>
      <w:r w:rsidRPr="00BC5E29">
        <w:rPr>
          <w:rFonts w:ascii="Times New Roman" w:hAnsi="Times New Roman" w:cs="Times New Roman"/>
          <w:sz w:val="24"/>
          <w:szCs w:val="24"/>
        </w:rPr>
        <w:t xml:space="preserve"> </w:t>
      </w:r>
      <w:r w:rsidR="003978E2" w:rsidRPr="00BC5E29">
        <w:rPr>
          <w:rFonts w:ascii="Times New Roman" w:hAnsi="Times New Roman" w:cs="Times New Roman"/>
          <w:sz w:val="24"/>
          <w:szCs w:val="24"/>
        </w:rPr>
        <w:t xml:space="preserve">y. </w:t>
      </w:r>
      <w:r w:rsidR="00B27CCE" w:rsidRPr="00BC5E29">
        <w:rPr>
          <w:rFonts w:ascii="Times New Roman" w:hAnsi="Times New Roman" w:cs="Times New Roman"/>
          <w:sz w:val="24"/>
          <w:szCs w:val="24"/>
        </w:rPr>
        <w:t xml:space="preserve">naudoja </w:t>
      </w:r>
      <w:r w:rsidR="00FE7D43" w:rsidRPr="00BC5E29">
        <w:rPr>
          <w:rFonts w:ascii="Times New Roman" w:hAnsi="Times New Roman" w:cs="Times New Roman"/>
          <w:sz w:val="24"/>
          <w:szCs w:val="24"/>
        </w:rPr>
        <w:t xml:space="preserve">Atvirų duomenų portalą, yra </w:t>
      </w:r>
      <w:r w:rsidR="00B27CCE" w:rsidRPr="00BC5E29">
        <w:rPr>
          <w:rFonts w:ascii="Times New Roman" w:hAnsi="Times New Roman" w:cs="Times New Roman"/>
          <w:sz w:val="24"/>
          <w:szCs w:val="24"/>
        </w:rPr>
        <w:t>susipažinę su</w:t>
      </w:r>
      <w:r w:rsidR="00FE7D43" w:rsidRPr="00BC5E29">
        <w:rPr>
          <w:rFonts w:ascii="Times New Roman" w:hAnsi="Times New Roman" w:cs="Times New Roman"/>
          <w:sz w:val="24"/>
          <w:szCs w:val="24"/>
        </w:rPr>
        <w:t xml:space="preserve"> atvirų duomenų mokymų medžiag</w:t>
      </w:r>
      <w:r w:rsidR="00B27CCE" w:rsidRPr="00BC5E29">
        <w:rPr>
          <w:rFonts w:ascii="Times New Roman" w:hAnsi="Times New Roman" w:cs="Times New Roman"/>
          <w:sz w:val="24"/>
          <w:szCs w:val="24"/>
        </w:rPr>
        <w:t xml:space="preserve">a bei </w:t>
      </w:r>
      <w:r w:rsidR="00FE7D43" w:rsidRPr="00BC5E29">
        <w:rPr>
          <w:rFonts w:ascii="Times New Roman" w:hAnsi="Times New Roman" w:cs="Times New Roman"/>
          <w:sz w:val="24"/>
          <w:szCs w:val="24"/>
        </w:rPr>
        <w:t>teisės aktais, reglamentuojančiais duomenų atvėrimo tvarką ir pan.</w:t>
      </w:r>
      <w:r w:rsidR="00BC5E29" w:rsidRPr="00BC5E29">
        <w:rPr>
          <w:rFonts w:ascii="Times New Roman" w:hAnsi="Times New Roman" w:cs="Times New Roman"/>
          <w:sz w:val="24"/>
          <w:szCs w:val="24"/>
        </w:rPr>
        <w:t xml:space="preserve"> (1 diagrama).</w:t>
      </w:r>
      <w:r w:rsidR="00FE7D43" w:rsidRPr="00BC5E2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4D67C2" w14:textId="0C1D99FB" w:rsidR="00B975AB" w:rsidRPr="00335ED7" w:rsidRDefault="00B975AB" w:rsidP="00303B21">
      <w:pPr>
        <w:jc w:val="both"/>
        <w:rPr>
          <w:rFonts w:ascii="Times New Roman" w:hAnsi="Times New Roman" w:cs="Times New Roman"/>
          <w:sz w:val="20"/>
          <w:szCs w:val="20"/>
        </w:rPr>
      </w:pPr>
      <w:r w:rsidRPr="00335ED7">
        <w:rPr>
          <w:rFonts w:ascii="Times New Roman" w:hAnsi="Times New Roman" w:cs="Times New Roman"/>
          <w:sz w:val="20"/>
          <w:szCs w:val="20"/>
        </w:rPr>
        <w:t xml:space="preserve">1 Diagrama </w:t>
      </w:r>
    </w:p>
    <w:p w14:paraId="36E4CD57" w14:textId="690CD224" w:rsidR="008B5631" w:rsidRPr="00BC5E29" w:rsidRDefault="00F72457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BE6A53E" wp14:editId="2FECF86F">
            <wp:extent cx="5762625" cy="3819525"/>
            <wp:effectExtent l="0" t="0" r="9525" b="9525"/>
            <wp:docPr id="1" name="Chart 1" descr="Chart type: Pie. 'Percent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95206B2-3EC5-C56E-F9AB-E04C1C6C826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784EF98D" w14:textId="5B75D4C6" w:rsidR="006E249A" w:rsidRPr="00BC5E29" w:rsidRDefault="00966AEC" w:rsidP="00B66C95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>Didžioji dalis i</w:t>
      </w:r>
      <w:r w:rsidR="00803EA2" w:rsidRPr="00BC5E29">
        <w:rPr>
          <w:rFonts w:ascii="Times New Roman" w:hAnsi="Times New Roman" w:cs="Times New Roman"/>
          <w:sz w:val="24"/>
          <w:szCs w:val="24"/>
        </w:rPr>
        <w:t>nstitucij</w:t>
      </w:r>
      <w:r w:rsidRPr="00BC5E29">
        <w:rPr>
          <w:rFonts w:ascii="Times New Roman" w:hAnsi="Times New Roman" w:cs="Times New Roman"/>
          <w:sz w:val="24"/>
          <w:szCs w:val="24"/>
        </w:rPr>
        <w:t>ų</w:t>
      </w:r>
      <w:r w:rsidR="00803EA2" w:rsidRPr="00BC5E29">
        <w:rPr>
          <w:rFonts w:ascii="Times New Roman" w:hAnsi="Times New Roman" w:cs="Times New Roman"/>
          <w:sz w:val="24"/>
          <w:szCs w:val="24"/>
        </w:rPr>
        <w:t xml:space="preserve"> </w:t>
      </w:r>
      <w:r w:rsidR="00B27CCE" w:rsidRPr="00BC5E29">
        <w:rPr>
          <w:rFonts w:ascii="Times New Roman" w:hAnsi="Times New Roman" w:cs="Times New Roman"/>
          <w:sz w:val="24"/>
          <w:szCs w:val="24"/>
        </w:rPr>
        <w:t>ir savivaldyb</w:t>
      </w:r>
      <w:r w:rsidRPr="00BC5E29">
        <w:rPr>
          <w:rFonts w:ascii="Times New Roman" w:hAnsi="Times New Roman" w:cs="Times New Roman"/>
          <w:sz w:val="24"/>
          <w:szCs w:val="24"/>
        </w:rPr>
        <w:t xml:space="preserve">ių </w:t>
      </w:r>
      <w:r w:rsidR="00803EA2" w:rsidRPr="00BC5E29">
        <w:rPr>
          <w:rFonts w:ascii="Times New Roman" w:hAnsi="Times New Roman" w:cs="Times New Roman"/>
          <w:sz w:val="24"/>
          <w:szCs w:val="24"/>
        </w:rPr>
        <w:t xml:space="preserve">nurodė, kad apie duomenų atvėrimo inciatyvas sužinojo ir informacinių raštų, taip pat </w:t>
      </w:r>
      <w:r w:rsidR="0061489B" w:rsidRPr="00BC5E29">
        <w:rPr>
          <w:rFonts w:ascii="Times New Roman" w:hAnsi="Times New Roman" w:cs="Times New Roman"/>
          <w:sz w:val="24"/>
          <w:szCs w:val="24"/>
        </w:rPr>
        <w:t xml:space="preserve">Vyriausybės, Ekonomikos ir inovacijų ministerijos, IVPK </w:t>
      </w:r>
      <w:r w:rsidR="00803EA2" w:rsidRPr="00BC5E29">
        <w:rPr>
          <w:rFonts w:ascii="Times New Roman" w:hAnsi="Times New Roman" w:cs="Times New Roman"/>
          <w:sz w:val="24"/>
          <w:szCs w:val="24"/>
        </w:rPr>
        <w:t>organizuojamų atvirų duomenų ren</w:t>
      </w:r>
      <w:r w:rsidR="0061489B" w:rsidRPr="00BC5E29">
        <w:rPr>
          <w:rFonts w:ascii="Times New Roman" w:hAnsi="Times New Roman" w:cs="Times New Roman"/>
          <w:sz w:val="24"/>
          <w:szCs w:val="24"/>
        </w:rPr>
        <w:t>ginių bei mokymų</w:t>
      </w:r>
      <w:r w:rsidR="00BC5E29" w:rsidRPr="00BC5E29">
        <w:rPr>
          <w:rFonts w:ascii="Times New Roman" w:hAnsi="Times New Roman" w:cs="Times New Roman"/>
          <w:sz w:val="24"/>
          <w:szCs w:val="24"/>
        </w:rPr>
        <w:t xml:space="preserve"> (2 diagrama)</w:t>
      </w:r>
      <w:r w:rsidR="0061489B" w:rsidRPr="00BC5E2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A80491" w14:textId="77777777" w:rsidR="00BC5E29" w:rsidRPr="00BC5E29" w:rsidRDefault="00BC5E29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3F87621" w14:textId="77777777" w:rsidR="00BC5E29" w:rsidRPr="00BC5E29" w:rsidRDefault="00BC5E29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6D6ADB" w14:textId="77777777" w:rsidR="00BC5E29" w:rsidRPr="00BC5E29" w:rsidRDefault="00BC5E29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168793" w14:textId="77777777" w:rsidR="00BC5E29" w:rsidRPr="00BC5E29" w:rsidRDefault="00BC5E29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3E5DD4" w14:textId="77777777" w:rsidR="00BC5E29" w:rsidRPr="00BC5E29" w:rsidRDefault="00BC5E29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B6C92F0" w14:textId="38B851A3" w:rsidR="00B975AB" w:rsidRPr="00335ED7" w:rsidRDefault="00B975AB" w:rsidP="00303B21">
      <w:pPr>
        <w:jc w:val="both"/>
        <w:rPr>
          <w:rFonts w:ascii="Times New Roman" w:hAnsi="Times New Roman" w:cs="Times New Roman"/>
          <w:sz w:val="20"/>
          <w:szCs w:val="20"/>
        </w:rPr>
      </w:pPr>
      <w:r w:rsidRPr="00335ED7">
        <w:rPr>
          <w:rFonts w:ascii="Times New Roman" w:hAnsi="Times New Roman" w:cs="Times New Roman"/>
          <w:sz w:val="20"/>
          <w:szCs w:val="20"/>
        </w:rPr>
        <w:lastRenderedPageBreak/>
        <w:t xml:space="preserve">2 Diagrama </w:t>
      </w:r>
    </w:p>
    <w:p w14:paraId="7FDFE54C" w14:textId="53ADDD9F" w:rsidR="00B975AB" w:rsidRPr="00BC5E29" w:rsidRDefault="007D6BE2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0802F04" wp14:editId="35EB617B">
            <wp:extent cx="6120130" cy="3564255"/>
            <wp:effectExtent l="0" t="0" r="13970" b="17145"/>
            <wp:docPr id="7" name="Chart 7" descr="Chart type: Clustered Bar. 'Field1': Informacinių raštų (Vyriausybė/ EIMIN/ IVPK /Statistikos departamentas ir kt.) has noticeably higher 'Field2'.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8D6FED5-4CE8-4803-BB5D-9916C8774D6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297034F" w14:textId="5AE803EF" w:rsidR="001F0CAB" w:rsidRPr="00BC5E29" w:rsidRDefault="00AE60D7" w:rsidP="00BF603C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1F0CAB" w:rsidRPr="00BC5E29">
        <w:rPr>
          <w:rFonts w:ascii="Times New Roman" w:hAnsi="Times New Roman" w:cs="Times New Roman"/>
          <w:sz w:val="24"/>
          <w:szCs w:val="24"/>
        </w:rPr>
        <w:t xml:space="preserve">emiantis apklausos rezultatais, </w:t>
      </w:r>
      <w:r w:rsidR="00BF603C">
        <w:rPr>
          <w:rFonts w:ascii="Times New Roman" w:hAnsi="Times New Roman" w:cs="Times New Roman"/>
          <w:sz w:val="24"/>
          <w:szCs w:val="24"/>
        </w:rPr>
        <w:t xml:space="preserve">institucijos ir savivaldybės </w:t>
      </w:r>
      <w:r w:rsidR="00F106DE" w:rsidRPr="00BC5E29">
        <w:rPr>
          <w:rFonts w:ascii="Times New Roman" w:hAnsi="Times New Roman" w:cs="Times New Roman"/>
          <w:sz w:val="24"/>
          <w:szCs w:val="24"/>
        </w:rPr>
        <w:t>invent</w:t>
      </w:r>
      <w:r w:rsidR="00BF603C">
        <w:rPr>
          <w:rFonts w:ascii="Times New Roman" w:hAnsi="Times New Roman" w:cs="Times New Roman"/>
          <w:sz w:val="24"/>
          <w:szCs w:val="24"/>
        </w:rPr>
        <w:t>orizuoja</w:t>
      </w:r>
      <w:r w:rsidR="00F106DE" w:rsidRPr="00BC5E29">
        <w:rPr>
          <w:rFonts w:ascii="Times New Roman" w:hAnsi="Times New Roman" w:cs="Times New Roman"/>
          <w:sz w:val="24"/>
          <w:szCs w:val="24"/>
        </w:rPr>
        <w:t>/</w:t>
      </w:r>
      <w:r w:rsidR="001A46E4" w:rsidRPr="00BC5E29">
        <w:rPr>
          <w:rFonts w:ascii="Times New Roman" w:hAnsi="Times New Roman" w:cs="Times New Roman"/>
          <w:sz w:val="24"/>
          <w:szCs w:val="24"/>
        </w:rPr>
        <w:t>atveria</w:t>
      </w:r>
      <w:r w:rsidR="00BF603C">
        <w:rPr>
          <w:rFonts w:ascii="Times New Roman" w:hAnsi="Times New Roman" w:cs="Times New Roman"/>
          <w:sz w:val="24"/>
          <w:szCs w:val="24"/>
        </w:rPr>
        <w:t xml:space="preserve"> duomenų rinkinius</w:t>
      </w:r>
      <w:r w:rsidR="001A46E4" w:rsidRPr="00BC5E29">
        <w:rPr>
          <w:rFonts w:ascii="Times New Roman" w:hAnsi="Times New Roman" w:cs="Times New Roman"/>
          <w:sz w:val="24"/>
          <w:szCs w:val="24"/>
        </w:rPr>
        <w:t xml:space="preserve"> nedideliais kiekiais – iki 5 duomenų rinkinių</w:t>
      </w:r>
      <w:r w:rsidR="00E33ACC">
        <w:rPr>
          <w:rFonts w:ascii="Times New Roman" w:hAnsi="Times New Roman" w:cs="Times New Roman"/>
          <w:sz w:val="24"/>
          <w:szCs w:val="24"/>
        </w:rPr>
        <w:t xml:space="preserve"> (</w:t>
      </w:r>
      <w:r w:rsidR="000F49BF">
        <w:rPr>
          <w:rFonts w:ascii="Times New Roman" w:hAnsi="Times New Roman" w:cs="Times New Roman"/>
          <w:sz w:val="24"/>
          <w:szCs w:val="24"/>
        </w:rPr>
        <w:t>3-</w:t>
      </w:r>
      <w:r w:rsidR="00E33ACC">
        <w:rPr>
          <w:rFonts w:ascii="Times New Roman" w:hAnsi="Times New Roman" w:cs="Times New Roman"/>
          <w:sz w:val="24"/>
          <w:szCs w:val="24"/>
        </w:rPr>
        <w:t>4 diagram</w:t>
      </w:r>
      <w:r w:rsidR="000F49BF">
        <w:rPr>
          <w:rFonts w:ascii="Times New Roman" w:hAnsi="Times New Roman" w:cs="Times New Roman"/>
          <w:sz w:val="24"/>
          <w:szCs w:val="24"/>
        </w:rPr>
        <w:t>os</w:t>
      </w:r>
      <w:r w:rsidR="00E33ACC">
        <w:rPr>
          <w:rFonts w:ascii="Times New Roman" w:hAnsi="Times New Roman" w:cs="Times New Roman"/>
          <w:sz w:val="24"/>
          <w:szCs w:val="24"/>
        </w:rPr>
        <w:t>)</w:t>
      </w:r>
      <w:r w:rsidR="001A46E4" w:rsidRPr="00BC5E29">
        <w:rPr>
          <w:rFonts w:ascii="Times New Roman" w:hAnsi="Times New Roman" w:cs="Times New Roman"/>
          <w:sz w:val="24"/>
          <w:szCs w:val="24"/>
        </w:rPr>
        <w:t xml:space="preserve">. Taip pat pažymėtina, kad vis tik didelė dalis </w:t>
      </w:r>
      <w:r w:rsidR="00F106DE" w:rsidRPr="00BC5E29">
        <w:rPr>
          <w:rFonts w:ascii="Times New Roman" w:hAnsi="Times New Roman" w:cs="Times New Roman"/>
          <w:sz w:val="24"/>
          <w:szCs w:val="24"/>
        </w:rPr>
        <w:t>(daugiau nei 5</w:t>
      </w:r>
      <w:r w:rsidR="00BF603C">
        <w:rPr>
          <w:rFonts w:ascii="Times New Roman" w:hAnsi="Times New Roman" w:cs="Times New Roman"/>
          <w:sz w:val="24"/>
          <w:szCs w:val="24"/>
        </w:rPr>
        <w:t>0</w:t>
      </w:r>
      <w:r w:rsidR="00F106DE" w:rsidRPr="00BC5E29">
        <w:rPr>
          <w:rFonts w:ascii="Times New Roman" w:hAnsi="Times New Roman" w:cs="Times New Roman"/>
          <w:sz w:val="24"/>
          <w:szCs w:val="24"/>
        </w:rPr>
        <w:t xml:space="preserve"> proc.) </w:t>
      </w:r>
      <w:r w:rsidR="001A46E4" w:rsidRPr="00BC5E29">
        <w:rPr>
          <w:rFonts w:ascii="Times New Roman" w:hAnsi="Times New Roman" w:cs="Times New Roman"/>
          <w:sz w:val="24"/>
          <w:szCs w:val="24"/>
        </w:rPr>
        <w:t>institucijų</w:t>
      </w:r>
      <w:r w:rsidR="00F106DE" w:rsidRPr="00BC5E29">
        <w:rPr>
          <w:rFonts w:ascii="Times New Roman" w:hAnsi="Times New Roman" w:cs="Times New Roman"/>
          <w:sz w:val="24"/>
          <w:szCs w:val="24"/>
        </w:rPr>
        <w:t xml:space="preserve"> ir savivaldybių</w:t>
      </w:r>
      <w:r w:rsidR="001A46E4" w:rsidRPr="00BC5E29">
        <w:rPr>
          <w:rFonts w:ascii="Times New Roman" w:hAnsi="Times New Roman" w:cs="Times New Roman"/>
          <w:sz w:val="24"/>
          <w:szCs w:val="24"/>
        </w:rPr>
        <w:t xml:space="preserve"> </w:t>
      </w:r>
      <w:r w:rsidR="00F106DE" w:rsidRPr="00BC5E29">
        <w:rPr>
          <w:rFonts w:ascii="Times New Roman" w:hAnsi="Times New Roman" w:cs="Times New Roman"/>
          <w:sz w:val="24"/>
          <w:szCs w:val="24"/>
        </w:rPr>
        <w:t>dar nėra inventorizav</w:t>
      </w:r>
      <w:r w:rsidR="00B975AB" w:rsidRPr="00BC5E29">
        <w:rPr>
          <w:rFonts w:ascii="Times New Roman" w:hAnsi="Times New Roman" w:cs="Times New Roman"/>
          <w:sz w:val="24"/>
          <w:szCs w:val="24"/>
        </w:rPr>
        <w:t>usi/</w:t>
      </w:r>
      <w:r w:rsidR="00F106DE" w:rsidRPr="00BC5E29">
        <w:rPr>
          <w:rFonts w:ascii="Times New Roman" w:hAnsi="Times New Roman" w:cs="Times New Roman"/>
          <w:sz w:val="24"/>
          <w:szCs w:val="24"/>
        </w:rPr>
        <w:t xml:space="preserve">atvėrusi nei vieno rinkinio. </w:t>
      </w:r>
      <w:r w:rsidR="00BF603C">
        <w:rPr>
          <w:rFonts w:ascii="Times New Roman" w:hAnsi="Times New Roman" w:cs="Times New Roman"/>
          <w:sz w:val="24"/>
          <w:szCs w:val="24"/>
        </w:rPr>
        <w:t xml:space="preserve">(3 diagrama). </w:t>
      </w:r>
      <w:r w:rsidR="00914656" w:rsidRPr="00BC5E29">
        <w:rPr>
          <w:rFonts w:ascii="Times New Roman" w:hAnsi="Times New Roman" w:cs="Times New Roman"/>
          <w:sz w:val="24"/>
          <w:szCs w:val="24"/>
        </w:rPr>
        <w:t xml:space="preserve">Pažymėtina, kad artimiausiu metu </w:t>
      </w:r>
      <w:r w:rsidR="00D323F8" w:rsidRPr="00BC5E29">
        <w:rPr>
          <w:rFonts w:ascii="Times New Roman" w:hAnsi="Times New Roman" w:cs="Times New Roman"/>
          <w:sz w:val="24"/>
          <w:szCs w:val="24"/>
        </w:rPr>
        <w:t>apie trečdalį institucijų ir savivaldybių planuoja atverti duomenis, taip pat trečdalis jų dar svarsto apie atvėrimą</w:t>
      </w:r>
      <w:r w:rsidR="00D67EE5" w:rsidRPr="00BC5E29">
        <w:rPr>
          <w:rFonts w:ascii="Times New Roman" w:hAnsi="Times New Roman" w:cs="Times New Roman"/>
          <w:sz w:val="24"/>
          <w:szCs w:val="24"/>
        </w:rPr>
        <w:t xml:space="preserve"> (5 </w:t>
      </w:r>
      <w:r w:rsidR="00E33ACC">
        <w:rPr>
          <w:rFonts w:ascii="Times New Roman" w:hAnsi="Times New Roman" w:cs="Times New Roman"/>
          <w:sz w:val="24"/>
          <w:szCs w:val="24"/>
        </w:rPr>
        <w:t>d</w:t>
      </w:r>
      <w:r w:rsidR="00D67EE5" w:rsidRPr="00BC5E29">
        <w:rPr>
          <w:rFonts w:ascii="Times New Roman" w:hAnsi="Times New Roman" w:cs="Times New Roman"/>
          <w:sz w:val="24"/>
          <w:szCs w:val="24"/>
        </w:rPr>
        <w:t>iagrama)</w:t>
      </w:r>
      <w:r w:rsidR="00D323F8" w:rsidRPr="00BC5E29">
        <w:rPr>
          <w:rFonts w:ascii="Times New Roman" w:hAnsi="Times New Roman" w:cs="Times New Roman"/>
          <w:sz w:val="24"/>
          <w:szCs w:val="24"/>
        </w:rPr>
        <w:t>.</w:t>
      </w:r>
    </w:p>
    <w:p w14:paraId="658A229F" w14:textId="7DFAD4D9" w:rsidR="00B975AB" w:rsidRPr="00E33ACC" w:rsidRDefault="00B975AB" w:rsidP="00303B21">
      <w:pPr>
        <w:jc w:val="both"/>
        <w:rPr>
          <w:rFonts w:ascii="Times New Roman" w:hAnsi="Times New Roman" w:cs="Times New Roman"/>
          <w:sz w:val="20"/>
          <w:szCs w:val="20"/>
        </w:rPr>
      </w:pPr>
      <w:r w:rsidRPr="00E33ACC">
        <w:rPr>
          <w:rFonts w:ascii="Times New Roman" w:hAnsi="Times New Roman" w:cs="Times New Roman"/>
          <w:sz w:val="20"/>
          <w:szCs w:val="20"/>
        </w:rPr>
        <w:t xml:space="preserve">3 Diagrama </w:t>
      </w:r>
    </w:p>
    <w:p w14:paraId="1AC47FBF" w14:textId="673874B4" w:rsidR="008671C9" w:rsidRPr="00BC5E29" w:rsidRDefault="008671C9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BE2084F" wp14:editId="7F3089FA">
            <wp:extent cx="6172200" cy="3857625"/>
            <wp:effectExtent l="0" t="0" r="0" b="9525"/>
            <wp:docPr id="2" name="Chart 2" descr="Chart type: Clustered Column. 'Percent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0350FC5B-B6B5-A626-3EA3-007232E878F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B11959F" w14:textId="7783AD27" w:rsidR="00DE52C8" w:rsidRDefault="00DE52C8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969FD7" w14:textId="77777777" w:rsidR="00E33ACC" w:rsidRPr="00BC5E29" w:rsidRDefault="00E33ACC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F60DB" w14:textId="79DFE877" w:rsidR="00B975AB" w:rsidRPr="00E33ACC" w:rsidRDefault="00B975AB" w:rsidP="00303B21">
      <w:pPr>
        <w:jc w:val="both"/>
        <w:rPr>
          <w:rFonts w:ascii="Times New Roman" w:hAnsi="Times New Roman" w:cs="Times New Roman"/>
          <w:sz w:val="20"/>
          <w:szCs w:val="20"/>
        </w:rPr>
      </w:pPr>
      <w:r w:rsidRPr="00E33ACC">
        <w:rPr>
          <w:rFonts w:ascii="Times New Roman" w:hAnsi="Times New Roman" w:cs="Times New Roman"/>
          <w:sz w:val="20"/>
          <w:szCs w:val="20"/>
        </w:rPr>
        <w:t xml:space="preserve">4 Diagrama </w:t>
      </w:r>
    </w:p>
    <w:p w14:paraId="3B6D4205" w14:textId="59C70096" w:rsidR="00DE52C8" w:rsidRPr="00BC5E29" w:rsidRDefault="00136B6F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  <w:u w:val="single"/>
        </w:rPr>
        <w:drawing>
          <wp:inline distT="0" distB="0" distL="0" distR="0" wp14:anchorId="426E705B" wp14:editId="2C100F87">
            <wp:extent cx="6134100" cy="4114800"/>
            <wp:effectExtent l="0" t="0" r="0" b="0"/>
            <wp:docPr id="4" name="Chart 4" descr="Chart type: Clustered Bar. 'Field2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ACA7458-AF40-D207-9F1F-05A693529C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4647241" w14:textId="77777777" w:rsidR="00D323F8" w:rsidRPr="00E33ACC" w:rsidRDefault="00D323F8" w:rsidP="00D323F8">
      <w:pPr>
        <w:jc w:val="both"/>
        <w:rPr>
          <w:rFonts w:ascii="Times New Roman" w:hAnsi="Times New Roman" w:cs="Times New Roman"/>
          <w:sz w:val="20"/>
          <w:szCs w:val="20"/>
        </w:rPr>
      </w:pPr>
      <w:r w:rsidRPr="00E33ACC">
        <w:rPr>
          <w:rFonts w:ascii="Times New Roman" w:hAnsi="Times New Roman" w:cs="Times New Roman"/>
          <w:sz w:val="20"/>
          <w:szCs w:val="20"/>
          <w:lang w:val="en-US"/>
        </w:rPr>
        <w:t>5</w:t>
      </w:r>
      <w:r w:rsidRPr="00E33ACC">
        <w:rPr>
          <w:rFonts w:ascii="Times New Roman" w:hAnsi="Times New Roman" w:cs="Times New Roman"/>
          <w:sz w:val="20"/>
          <w:szCs w:val="20"/>
        </w:rPr>
        <w:t xml:space="preserve"> Diagrama </w:t>
      </w:r>
    </w:p>
    <w:p w14:paraId="6C7FE2CE" w14:textId="77777777" w:rsidR="00D323F8" w:rsidRPr="00BC5E29" w:rsidRDefault="00D323F8" w:rsidP="00D323F8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12CE5B6" wp14:editId="74B06B42">
            <wp:extent cx="6162675" cy="3438525"/>
            <wp:effectExtent l="0" t="0" r="9525" b="9525"/>
            <wp:docPr id="16" name="Chart 16" descr="Chart type: Pie. 'Field2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7538723A-7841-43C9-96EE-C5924DD666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15CED8E" w14:textId="0C9D48D5" w:rsidR="00B975AB" w:rsidRPr="00BC5E29" w:rsidRDefault="000F49BF" w:rsidP="00D64C5A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Taip pat a</w:t>
      </w:r>
      <w:r w:rsidR="00D64C5A">
        <w:rPr>
          <w:rFonts w:ascii="Times New Roman" w:hAnsi="Times New Roman" w:cs="Times New Roman"/>
          <w:sz w:val="24"/>
          <w:szCs w:val="24"/>
        </w:rPr>
        <w:t xml:space="preserve">pklausa parodė, kad nemaža dalis </w:t>
      </w:r>
      <w:r w:rsidR="0037659D" w:rsidRPr="00BC5E29">
        <w:rPr>
          <w:rFonts w:ascii="Times New Roman" w:hAnsi="Times New Roman" w:cs="Times New Roman"/>
          <w:sz w:val="24"/>
          <w:szCs w:val="24"/>
        </w:rPr>
        <w:t xml:space="preserve">atvertų duomenų rinkinių yra žemesnio brandos lygio – apie </w:t>
      </w:r>
      <w:r w:rsidR="00B831DA" w:rsidRPr="00BC5E29">
        <w:rPr>
          <w:rFonts w:ascii="Times New Roman" w:hAnsi="Times New Roman" w:cs="Times New Roman"/>
          <w:sz w:val="24"/>
          <w:szCs w:val="24"/>
        </w:rPr>
        <w:t>17</w:t>
      </w:r>
      <w:r w:rsidR="0037659D" w:rsidRPr="00BC5E29">
        <w:rPr>
          <w:rFonts w:ascii="Times New Roman" w:hAnsi="Times New Roman" w:cs="Times New Roman"/>
          <w:sz w:val="24"/>
          <w:szCs w:val="24"/>
        </w:rPr>
        <w:t xml:space="preserve"> proc. atveriamų duomenų teikiami docx/</w:t>
      </w:r>
      <w:r w:rsidR="00EE6ED3" w:rsidRPr="00BC5E29">
        <w:rPr>
          <w:rFonts w:ascii="Times New Roman" w:hAnsi="Times New Roman" w:cs="Times New Roman"/>
          <w:sz w:val="24"/>
          <w:szCs w:val="24"/>
        </w:rPr>
        <w:t xml:space="preserve"> xlsx/</w:t>
      </w:r>
      <w:r w:rsidR="0037659D" w:rsidRPr="00BC5E29">
        <w:rPr>
          <w:rFonts w:ascii="Times New Roman" w:hAnsi="Times New Roman" w:cs="Times New Roman"/>
          <w:sz w:val="24"/>
          <w:szCs w:val="24"/>
        </w:rPr>
        <w:t xml:space="preserve"> pdf/ txt formatais, kurių pakartotinio naudojimo galimybės yra ribotos. Apie</w:t>
      </w:r>
      <w:r w:rsidR="00EB249D" w:rsidRPr="00BC5E29">
        <w:rPr>
          <w:rFonts w:ascii="Times New Roman" w:hAnsi="Times New Roman" w:cs="Times New Roman"/>
          <w:sz w:val="24"/>
          <w:szCs w:val="24"/>
        </w:rPr>
        <w:t xml:space="preserve"> 20</w:t>
      </w:r>
      <w:r w:rsidR="0037659D" w:rsidRPr="00BC5E29">
        <w:rPr>
          <w:rFonts w:ascii="Times New Roman" w:hAnsi="Times New Roman" w:cs="Times New Roman"/>
          <w:sz w:val="24"/>
          <w:szCs w:val="24"/>
        </w:rPr>
        <w:t xml:space="preserve"> proc. duomenų rinkinių yra atverta didesniu nei 3 brandos lygiu</w:t>
      </w:r>
      <w:r w:rsidR="00D64C5A">
        <w:rPr>
          <w:rFonts w:ascii="Times New Roman" w:hAnsi="Times New Roman" w:cs="Times New Roman"/>
          <w:sz w:val="24"/>
          <w:szCs w:val="24"/>
        </w:rPr>
        <w:t xml:space="preserve"> (6 </w:t>
      </w:r>
      <w:r w:rsidR="00D64C5A">
        <w:rPr>
          <w:rFonts w:ascii="Times New Roman" w:hAnsi="Times New Roman" w:cs="Times New Roman"/>
          <w:sz w:val="24"/>
          <w:szCs w:val="24"/>
        </w:rPr>
        <w:lastRenderedPageBreak/>
        <w:t>diagrama).</w:t>
      </w:r>
      <w:r w:rsidR="0037659D" w:rsidRPr="00BC5E29">
        <w:rPr>
          <w:rFonts w:ascii="Times New Roman" w:hAnsi="Times New Roman" w:cs="Times New Roman"/>
          <w:sz w:val="24"/>
          <w:szCs w:val="24"/>
        </w:rPr>
        <w:t xml:space="preserve"> Šiuos duomenų rinkinius naudotojai gali lengviau pakartotinai naudoti kurdami naujus produktus, paslaugas ar inovatyvius sprendimus.</w:t>
      </w:r>
    </w:p>
    <w:p w14:paraId="78534433" w14:textId="5534CB3A" w:rsidR="006F2C83" w:rsidRPr="000F49BF" w:rsidRDefault="00D654BF" w:rsidP="006F2C83">
      <w:pPr>
        <w:jc w:val="both"/>
        <w:rPr>
          <w:rFonts w:ascii="Times New Roman" w:hAnsi="Times New Roman" w:cs="Times New Roman"/>
          <w:sz w:val="20"/>
          <w:szCs w:val="20"/>
        </w:rPr>
      </w:pPr>
      <w:bookmarkStart w:id="0" w:name="_Hlk113456083"/>
      <w:r w:rsidRPr="000F49BF">
        <w:rPr>
          <w:rFonts w:ascii="Times New Roman" w:hAnsi="Times New Roman" w:cs="Times New Roman"/>
          <w:sz w:val="20"/>
          <w:szCs w:val="20"/>
        </w:rPr>
        <w:t>6</w:t>
      </w:r>
      <w:r w:rsidR="006F2C83" w:rsidRPr="000F49BF">
        <w:rPr>
          <w:rFonts w:ascii="Times New Roman" w:hAnsi="Times New Roman" w:cs="Times New Roman"/>
          <w:sz w:val="20"/>
          <w:szCs w:val="20"/>
        </w:rPr>
        <w:t xml:space="preserve"> Diagrama </w:t>
      </w:r>
    </w:p>
    <w:bookmarkEnd w:id="0"/>
    <w:p w14:paraId="0F9A32B5" w14:textId="4AA589FC" w:rsidR="00136B6F" w:rsidRPr="00BC5E29" w:rsidRDefault="001C68D3" w:rsidP="00303B21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AB55DF" wp14:editId="36A0F9ED">
            <wp:extent cx="6191250" cy="3810000"/>
            <wp:effectExtent l="0" t="0" r="0" b="0"/>
            <wp:docPr id="9" name="Chart 9" descr="Chart type: Clustered Column. 'Field2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73875F2-F947-4F17-9269-BD7FAA49B18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E02CC4B" w14:textId="4E84FB0F" w:rsidR="00465663" w:rsidRDefault="006E249A" w:rsidP="0061356A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 xml:space="preserve">Dauguma institucijų </w:t>
      </w:r>
      <w:r w:rsidR="0026391B" w:rsidRPr="00BC5E29">
        <w:rPr>
          <w:rFonts w:ascii="Times New Roman" w:hAnsi="Times New Roman" w:cs="Times New Roman"/>
          <w:sz w:val="24"/>
          <w:szCs w:val="24"/>
        </w:rPr>
        <w:t>ir savivaldybių, nurodžiusių, kad planuoja arba svarsto apie duomenų atvėrimą</w:t>
      </w:r>
      <w:r w:rsidR="00D654BF" w:rsidRPr="00BC5E29">
        <w:rPr>
          <w:rFonts w:ascii="Times New Roman" w:hAnsi="Times New Roman" w:cs="Times New Roman"/>
          <w:sz w:val="24"/>
          <w:szCs w:val="24"/>
        </w:rPr>
        <w:t xml:space="preserve"> (5 </w:t>
      </w:r>
      <w:r w:rsidR="000F49BF">
        <w:rPr>
          <w:rFonts w:ascii="Times New Roman" w:hAnsi="Times New Roman" w:cs="Times New Roman"/>
          <w:sz w:val="24"/>
          <w:szCs w:val="24"/>
        </w:rPr>
        <w:t>d</w:t>
      </w:r>
      <w:r w:rsidR="00D654BF" w:rsidRPr="00BC5E29">
        <w:rPr>
          <w:rFonts w:ascii="Times New Roman" w:hAnsi="Times New Roman" w:cs="Times New Roman"/>
          <w:sz w:val="24"/>
          <w:szCs w:val="24"/>
        </w:rPr>
        <w:t>iagrama)</w:t>
      </w:r>
      <w:r w:rsidR="0026391B" w:rsidRPr="00BC5E29">
        <w:rPr>
          <w:rFonts w:ascii="Times New Roman" w:hAnsi="Times New Roman" w:cs="Times New Roman"/>
          <w:sz w:val="24"/>
          <w:szCs w:val="24"/>
        </w:rPr>
        <w:t xml:space="preserve">, </w:t>
      </w:r>
      <w:r w:rsidR="00465663" w:rsidRPr="00BC5E29">
        <w:rPr>
          <w:rFonts w:ascii="Times New Roman" w:hAnsi="Times New Roman" w:cs="Times New Roman"/>
          <w:sz w:val="24"/>
          <w:szCs w:val="24"/>
        </w:rPr>
        <w:t>įvardino, kad a</w:t>
      </w:r>
      <w:r w:rsidR="00EB249D" w:rsidRPr="00BC5E29">
        <w:rPr>
          <w:rFonts w:ascii="Times New Roman" w:hAnsi="Times New Roman" w:cs="Times New Roman"/>
          <w:sz w:val="24"/>
          <w:szCs w:val="24"/>
        </w:rPr>
        <w:t xml:space="preserve">rtimiausiu metu </w:t>
      </w:r>
      <w:r w:rsidR="00CC7D3D" w:rsidRPr="00BC5E29">
        <w:rPr>
          <w:rFonts w:ascii="Times New Roman" w:hAnsi="Times New Roman" w:cs="Times New Roman"/>
          <w:sz w:val="24"/>
          <w:szCs w:val="24"/>
        </w:rPr>
        <w:t xml:space="preserve">planuoja atverti </w:t>
      </w:r>
      <w:r w:rsidR="00465663" w:rsidRPr="00BC5E29">
        <w:rPr>
          <w:rFonts w:ascii="Times New Roman" w:hAnsi="Times New Roman" w:cs="Times New Roman"/>
          <w:sz w:val="24"/>
          <w:szCs w:val="24"/>
        </w:rPr>
        <w:t xml:space="preserve">nedidelį kiekį duomenų rinkinių -  </w:t>
      </w:r>
      <w:r w:rsidR="00CC7D3D" w:rsidRPr="00BC5E29">
        <w:rPr>
          <w:rFonts w:ascii="Times New Roman" w:hAnsi="Times New Roman" w:cs="Times New Roman"/>
          <w:sz w:val="24"/>
          <w:szCs w:val="24"/>
        </w:rPr>
        <w:t>iki 5 duomenų rinkinių</w:t>
      </w:r>
      <w:r w:rsidR="00E870DB">
        <w:rPr>
          <w:rFonts w:ascii="Times New Roman" w:hAnsi="Times New Roman" w:cs="Times New Roman"/>
          <w:sz w:val="24"/>
          <w:szCs w:val="24"/>
        </w:rPr>
        <w:t xml:space="preserve"> (7 diagrama).</w:t>
      </w:r>
    </w:p>
    <w:p w14:paraId="6F578D1A" w14:textId="342077D9" w:rsidR="00E870DB" w:rsidRPr="000F49BF" w:rsidRDefault="00E870DB" w:rsidP="00E870DB">
      <w:pPr>
        <w:jc w:val="both"/>
        <w:rPr>
          <w:rFonts w:ascii="Times New Roman" w:hAnsi="Times New Roman" w:cs="Times New Roman"/>
          <w:sz w:val="20"/>
          <w:szCs w:val="20"/>
        </w:rPr>
      </w:pPr>
      <w:r w:rsidRPr="000F49BF">
        <w:rPr>
          <w:rFonts w:ascii="Times New Roman" w:hAnsi="Times New Roman" w:cs="Times New Roman"/>
          <w:sz w:val="20"/>
          <w:szCs w:val="20"/>
        </w:rPr>
        <w:t xml:space="preserve">7 Diagrama </w:t>
      </w:r>
    </w:p>
    <w:p w14:paraId="77D1B542" w14:textId="34942C6A" w:rsidR="00136B6F" w:rsidRPr="00BC5E29" w:rsidRDefault="00136B6F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378A517" wp14:editId="6C7C793F">
            <wp:extent cx="6172200" cy="3619500"/>
            <wp:effectExtent l="0" t="0" r="0" b="0"/>
            <wp:docPr id="6" name="Chart 6" descr="Chart type: Clustered Column. 'Field2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60A4357B-3C01-4F84-BDDF-5E9D2CC56DA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71163ED2" w14:textId="7EB9C1B9" w:rsidR="004B449C" w:rsidRDefault="0061356A" w:rsidP="0061356A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Institucijos ir savivaldybės, paklaustos apie duomenų atvėrimo būdą, nurodė, kad duomenis planuoja a</w:t>
      </w:r>
      <w:r w:rsidR="007F0054" w:rsidRPr="00BC5E29">
        <w:rPr>
          <w:rFonts w:ascii="Times New Roman" w:hAnsi="Times New Roman" w:cs="Times New Roman"/>
          <w:sz w:val="24"/>
          <w:szCs w:val="24"/>
        </w:rPr>
        <w:t>tverti savarankiškai</w:t>
      </w:r>
      <w:r>
        <w:rPr>
          <w:rFonts w:ascii="Times New Roman" w:hAnsi="Times New Roman" w:cs="Times New Roman"/>
          <w:sz w:val="24"/>
          <w:szCs w:val="24"/>
        </w:rPr>
        <w:t xml:space="preserve"> (345 proc.), bendradarbiaudami su Statistikos departamentu (22,6 proc.)</w:t>
      </w:r>
      <w:r w:rsidR="00E870DB">
        <w:rPr>
          <w:rFonts w:ascii="Times New Roman" w:hAnsi="Times New Roman" w:cs="Times New Roman"/>
          <w:sz w:val="24"/>
          <w:szCs w:val="24"/>
        </w:rPr>
        <w:t xml:space="preserve">, bendradarbiaudami su institucijos IT sistemos priežiūros paslaugų teikėju (19,5 proc.) (8 diagrama). </w:t>
      </w:r>
    </w:p>
    <w:p w14:paraId="454CC9B6" w14:textId="111E41A5" w:rsidR="00E870DB" w:rsidRPr="000F49BF" w:rsidRDefault="00E870DB" w:rsidP="00E870DB">
      <w:pPr>
        <w:jc w:val="both"/>
        <w:rPr>
          <w:rFonts w:ascii="Times New Roman" w:hAnsi="Times New Roman" w:cs="Times New Roman"/>
          <w:sz w:val="20"/>
          <w:szCs w:val="20"/>
        </w:rPr>
      </w:pPr>
      <w:r w:rsidRPr="000F49BF">
        <w:rPr>
          <w:rFonts w:ascii="Times New Roman" w:hAnsi="Times New Roman" w:cs="Times New Roman"/>
          <w:sz w:val="20"/>
          <w:szCs w:val="20"/>
        </w:rPr>
        <w:t xml:space="preserve">8 Diagrama </w:t>
      </w:r>
    </w:p>
    <w:p w14:paraId="6C4B3B9F" w14:textId="7CD64289" w:rsidR="007F0054" w:rsidRPr="00BC5E29" w:rsidRDefault="007F0054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2C374C9" wp14:editId="72B858F9">
            <wp:extent cx="6315075" cy="3971925"/>
            <wp:effectExtent l="0" t="0" r="9525" b="9525"/>
            <wp:docPr id="13" name="Chart 13" descr="Chart type: Clustered Column. 'Field3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FE2FD69-2A68-434B-9FE6-8A2D9472DE2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510766DF" w14:textId="597DEDB2" w:rsidR="00A61DA6" w:rsidRDefault="00A61DA6" w:rsidP="00F8283E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>Institucijos ir savivaldybės nurodė</w:t>
      </w:r>
      <w:r w:rsidR="008F31EF">
        <w:rPr>
          <w:rFonts w:ascii="Times New Roman" w:hAnsi="Times New Roman" w:cs="Times New Roman"/>
          <w:sz w:val="24"/>
          <w:szCs w:val="24"/>
        </w:rPr>
        <w:t>, kad</w:t>
      </w:r>
      <w:r w:rsidRPr="00BC5E29">
        <w:rPr>
          <w:rFonts w:ascii="Times New Roman" w:hAnsi="Times New Roman" w:cs="Times New Roman"/>
          <w:sz w:val="24"/>
          <w:szCs w:val="24"/>
        </w:rPr>
        <w:t xml:space="preserve"> atvir</w:t>
      </w:r>
      <w:r w:rsidR="008F31EF">
        <w:rPr>
          <w:rFonts w:ascii="Times New Roman" w:hAnsi="Times New Roman" w:cs="Times New Roman"/>
          <w:sz w:val="24"/>
          <w:szCs w:val="24"/>
        </w:rPr>
        <w:t>i</w:t>
      </w:r>
      <w:r w:rsidRPr="00BC5E29">
        <w:rPr>
          <w:rFonts w:ascii="Times New Roman" w:hAnsi="Times New Roman" w:cs="Times New Roman"/>
          <w:sz w:val="24"/>
          <w:szCs w:val="24"/>
        </w:rPr>
        <w:t xml:space="preserve"> duomen</w:t>
      </w:r>
      <w:r w:rsidR="008F31EF">
        <w:rPr>
          <w:rFonts w:ascii="Times New Roman" w:hAnsi="Times New Roman" w:cs="Times New Roman"/>
          <w:sz w:val="24"/>
          <w:szCs w:val="24"/>
        </w:rPr>
        <w:t>ys gali daryti</w:t>
      </w:r>
      <w:r w:rsidR="00F14C3C">
        <w:rPr>
          <w:rFonts w:ascii="Times New Roman" w:hAnsi="Times New Roman" w:cs="Times New Roman"/>
          <w:sz w:val="24"/>
          <w:szCs w:val="24"/>
        </w:rPr>
        <w:t>/</w:t>
      </w:r>
      <w:r w:rsidR="008F31EF">
        <w:rPr>
          <w:rFonts w:ascii="Times New Roman" w:hAnsi="Times New Roman" w:cs="Times New Roman"/>
          <w:sz w:val="24"/>
          <w:szCs w:val="24"/>
        </w:rPr>
        <w:t xml:space="preserve">daro įtaką jų </w:t>
      </w:r>
      <w:r w:rsidR="00F14C3C">
        <w:rPr>
          <w:rFonts w:ascii="Times New Roman" w:hAnsi="Times New Roman" w:cs="Times New Roman"/>
          <w:sz w:val="24"/>
          <w:szCs w:val="24"/>
        </w:rPr>
        <w:t>institucij</w:t>
      </w:r>
      <w:r w:rsidR="00E62E09">
        <w:rPr>
          <w:rFonts w:ascii="Times New Roman" w:hAnsi="Times New Roman" w:cs="Times New Roman"/>
          <w:sz w:val="24"/>
          <w:szCs w:val="24"/>
        </w:rPr>
        <w:t>ai – tiek taupant resursus, tiek didinant pasitikėjimą institucija, ti</w:t>
      </w:r>
      <w:r w:rsidR="00F50BD0">
        <w:rPr>
          <w:rFonts w:ascii="Times New Roman" w:hAnsi="Times New Roman" w:cs="Times New Roman"/>
          <w:sz w:val="24"/>
          <w:szCs w:val="24"/>
        </w:rPr>
        <w:t>ek sprendžiant institucijos problemas</w:t>
      </w:r>
      <w:r w:rsidR="00F14C3C">
        <w:rPr>
          <w:rFonts w:ascii="Times New Roman" w:hAnsi="Times New Roman" w:cs="Times New Roman"/>
          <w:sz w:val="24"/>
          <w:szCs w:val="24"/>
        </w:rPr>
        <w:t xml:space="preserve"> (9 diagrama). </w:t>
      </w:r>
    </w:p>
    <w:p w14:paraId="7FAB27A7" w14:textId="2C4907B2" w:rsidR="00F14C3C" w:rsidRPr="008C1A2C" w:rsidRDefault="00F14C3C" w:rsidP="00F14C3C">
      <w:pPr>
        <w:jc w:val="both"/>
        <w:rPr>
          <w:rFonts w:ascii="Times New Roman" w:hAnsi="Times New Roman" w:cs="Times New Roman"/>
          <w:sz w:val="20"/>
          <w:szCs w:val="20"/>
        </w:rPr>
      </w:pPr>
      <w:r w:rsidRPr="008C1A2C">
        <w:rPr>
          <w:rFonts w:ascii="Times New Roman" w:hAnsi="Times New Roman" w:cs="Times New Roman"/>
          <w:sz w:val="20"/>
          <w:szCs w:val="20"/>
        </w:rPr>
        <w:t>9 Diagrama</w:t>
      </w:r>
    </w:p>
    <w:p w14:paraId="24025F4A" w14:textId="77777777" w:rsidR="00A61DA6" w:rsidRPr="00BC5E29" w:rsidRDefault="00A61DA6" w:rsidP="00A61DA6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70F8911" wp14:editId="65018AC6">
            <wp:extent cx="6343650" cy="3400425"/>
            <wp:effectExtent l="0" t="0" r="0" b="9525"/>
            <wp:docPr id="3" name="Chart 3" descr="Chart type: Clustered Column. 'Percent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4CA8DE13-8752-DB98-B291-647BC9FB83E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570A5A5D" w14:textId="09D652A5" w:rsidR="00F8283E" w:rsidRDefault="00F8283E" w:rsidP="00F8283E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</w:t>
      </w:r>
      <w:r w:rsidRPr="00A61DA6">
        <w:rPr>
          <w:rFonts w:ascii="Times New Roman" w:hAnsi="Times New Roman" w:cs="Times New Roman"/>
          <w:sz w:val="24"/>
          <w:szCs w:val="24"/>
        </w:rPr>
        <w:t xml:space="preserve">tvirų duomenų poveikį ekonomikai, socialinei ir politinei aplinkai teigiamai vertina didžioji dalis respondentų </w:t>
      </w:r>
      <w:r w:rsidR="00335ED7">
        <w:rPr>
          <w:rFonts w:ascii="Times New Roman" w:hAnsi="Times New Roman" w:cs="Times New Roman"/>
          <w:sz w:val="24"/>
          <w:szCs w:val="24"/>
        </w:rPr>
        <w:t xml:space="preserve">(11-13 diagramos). </w:t>
      </w:r>
    </w:p>
    <w:p w14:paraId="7A1B4FED" w14:textId="3D106E9D" w:rsidR="00A61DA6" w:rsidRPr="008C1A2C" w:rsidRDefault="00335ED7" w:rsidP="00A61DA6">
      <w:pPr>
        <w:jc w:val="both"/>
        <w:rPr>
          <w:rFonts w:ascii="Times New Roman" w:hAnsi="Times New Roman" w:cs="Times New Roman"/>
          <w:sz w:val="20"/>
          <w:szCs w:val="20"/>
        </w:rPr>
      </w:pPr>
      <w:r w:rsidRPr="008C1A2C">
        <w:rPr>
          <w:rFonts w:ascii="Times New Roman" w:hAnsi="Times New Roman" w:cs="Times New Roman"/>
          <w:sz w:val="20"/>
          <w:szCs w:val="20"/>
        </w:rPr>
        <w:t xml:space="preserve">11 Diagrama </w:t>
      </w:r>
    </w:p>
    <w:p w14:paraId="04D6234D" w14:textId="77777777" w:rsidR="00A61DA6" w:rsidRPr="00BC5E29" w:rsidRDefault="00A61DA6" w:rsidP="00A61DA6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77DE67" wp14:editId="0B4F46FF">
            <wp:extent cx="6134100" cy="3714750"/>
            <wp:effectExtent l="0" t="0" r="0" b="0"/>
            <wp:docPr id="10" name="Chart 10" descr="Chart type: Clustered Column. 'Frequency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573D19C4-2E28-96BB-A109-F642CE75E79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0B0447B2" w14:textId="258E81FC" w:rsidR="00A61DA6" w:rsidRPr="00E56A62" w:rsidRDefault="00335ED7" w:rsidP="00A61DA6">
      <w:pPr>
        <w:jc w:val="both"/>
        <w:rPr>
          <w:rFonts w:ascii="Times New Roman" w:hAnsi="Times New Roman" w:cs="Times New Roman"/>
          <w:sz w:val="20"/>
          <w:szCs w:val="20"/>
        </w:rPr>
      </w:pPr>
      <w:r w:rsidRPr="00E56A62">
        <w:rPr>
          <w:rFonts w:ascii="Times New Roman" w:hAnsi="Times New Roman" w:cs="Times New Roman"/>
          <w:sz w:val="20"/>
          <w:szCs w:val="20"/>
        </w:rPr>
        <w:t>12 Diagrama</w:t>
      </w:r>
    </w:p>
    <w:p w14:paraId="1B12F6F9" w14:textId="77777777" w:rsidR="00A61DA6" w:rsidRPr="00BC5E29" w:rsidRDefault="00A61DA6" w:rsidP="00A61DA6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9229510" wp14:editId="7B635064">
            <wp:extent cx="6105525" cy="4038600"/>
            <wp:effectExtent l="0" t="0" r="9525" b="0"/>
            <wp:docPr id="15" name="Chart 15" descr="Chart type: Clustered Column. 'Frequency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43EA7073-C809-D537-D51C-7C28E9EE9B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5D395408" w14:textId="77777777" w:rsidR="0041081A" w:rsidRDefault="0041081A" w:rsidP="00A61DA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D07886" w14:textId="77777777" w:rsidR="0041081A" w:rsidRDefault="0041081A" w:rsidP="00A61DA6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199721E" w14:textId="7B5995B0" w:rsidR="00A61DA6" w:rsidRPr="00E56A62" w:rsidRDefault="00335ED7" w:rsidP="00A61DA6">
      <w:pPr>
        <w:jc w:val="both"/>
        <w:rPr>
          <w:rFonts w:ascii="Times New Roman" w:hAnsi="Times New Roman" w:cs="Times New Roman"/>
          <w:sz w:val="20"/>
          <w:szCs w:val="20"/>
        </w:rPr>
      </w:pPr>
      <w:r w:rsidRPr="00E56A62">
        <w:rPr>
          <w:rFonts w:ascii="Times New Roman" w:hAnsi="Times New Roman" w:cs="Times New Roman"/>
          <w:sz w:val="20"/>
          <w:szCs w:val="20"/>
        </w:rPr>
        <w:lastRenderedPageBreak/>
        <w:t>13 Diagrama</w:t>
      </w:r>
    </w:p>
    <w:p w14:paraId="36BBC390" w14:textId="2F23B8B3" w:rsidR="00A61DA6" w:rsidRDefault="00A61DA6" w:rsidP="00A61DA6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3EC646C" wp14:editId="7077AB04">
            <wp:extent cx="6067425" cy="3695700"/>
            <wp:effectExtent l="0" t="0" r="9525" b="0"/>
            <wp:docPr id="17" name="Chart 17" descr="Chart type: Clustered Column. 'Frequency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6D503F7-4A52-0986-1506-39CFF6E4E0E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087164F3" w14:textId="030AF25E" w:rsidR="00335ED7" w:rsidRPr="00E56A62" w:rsidRDefault="00335ED7" w:rsidP="00A61DA6">
      <w:pPr>
        <w:jc w:val="both"/>
        <w:rPr>
          <w:rFonts w:ascii="Times New Roman" w:hAnsi="Times New Roman" w:cs="Times New Roman"/>
          <w:sz w:val="20"/>
          <w:szCs w:val="20"/>
        </w:rPr>
      </w:pPr>
      <w:r w:rsidRPr="00E56A62">
        <w:rPr>
          <w:rFonts w:ascii="Times New Roman" w:hAnsi="Times New Roman" w:cs="Times New Roman"/>
          <w:sz w:val="20"/>
          <w:szCs w:val="20"/>
        </w:rPr>
        <w:t>14 Diagrama</w:t>
      </w:r>
    </w:p>
    <w:p w14:paraId="5C4A3CE8" w14:textId="0251D6E3" w:rsidR="00A61DA6" w:rsidRPr="00BC5E29" w:rsidRDefault="00335ED7" w:rsidP="00A61DA6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8AD6DB4" wp14:editId="39E8A061">
            <wp:extent cx="6105525" cy="4038600"/>
            <wp:effectExtent l="0" t="0" r="9525" b="0"/>
            <wp:docPr id="5" name="Chart 5" descr="Chart type: Clustered Column. 'Frequency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B71141C4-C5D2-CD1F-2D31-C31C0108E73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462C0DFF" w14:textId="6BEFB0FD" w:rsidR="00136B6F" w:rsidRPr="00335ED7" w:rsidRDefault="00465663" w:rsidP="00E870DB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15275138"/>
      <w:r w:rsidRPr="00335ED7">
        <w:rPr>
          <w:rFonts w:ascii="Times New Roman" w:hAnsi="Times New Roman" w:cs="Times New Roman"/>
          <w:sz w:val="24"/>
          <w:szCs w:val="24"/>
        </w:rPr>
        <w:t xml:space="preserve">Nors atvirų duomenų </w:t>
      </w:r>
      <w:r w:rsidR="001F4FE0" w:rsidRPr="00335ED7">
        <w:rPr>
          <w:rFonts w:ascii="Times New Roman" w:hAnsi="Times New Roman" w:cs="Times New Roman"/>
          <w:sz w:val="24"/>
          <w:szCs w:val="24"/>
        </w:rPr>
        <w:t xml:space="preserve">poveikį </w:t>
      </w:r>
      <w:r w:rsidR="006652DE" w:rsidRPr="00335ED7">
        <w:rPr>
          <w:rFonts w:ascii="Times New Roman" w:hAnsi="Times New Roman" w:cs="Times New Roman"/>
          <w:sz w:val="24"/>
          <w:szCs w:val="24"/>
        </w:rPr>
        <w:t>ekonomikai, socialinei ir politinei aplinkai teigiamai vertina didžioji dalis responden</w:t>
      </w:r>
      <w:r w:rsidR="00FE3F7C" w:rsidRPr="00335ED7">
        <w:rPr>
          <w:rFonts w:ascii="Times New Roman" w:hAnsi="Times New Roman" w:cs="Times New Roman"/>
          <w:sz w:val="24"/>
          <w:szCs w:val="24"/>
        </w:rPr>
        <w:t xml:space="preserve">tų, tačiau </w:t>
      </w:r>
      <w:r w:rsidRPr="00335ED7">
        <w:rPr>
          <w:rFonts w:ascii="Times New Roman" w:hAnsi="Times New Roman" w:cs="Times New Roman"/>
          <w:sz w:val="24"/>
          <w:szCs w:val="24"/>
        </w:rPr>
        <w:t xml:space="preserve">siekiant paskatinti atverti duomenis, </w:t>
      </w:r>
      <w:r w:rsidR="00FE3F7C" w:rsidRPr="00335ED7">
        <w:rPr>
          <w:rFonts w:ascii="Times New Roman" w:hAnsi="Times New Roman" w:cs="Times New Roman"/>
          <w:sz w:val="24"/>
          <w:szCs w:val="24"/>
        </w:rPr>
        <w:t xml:space="preserve">įvardinama, kad būtina </w:t>
      </w:r>
      <w:r w:rsidR="0048193E" w:rsidRPr="00335ED7">
        <w:rPr>
          <w:rFonts w:ascii="Times New Roman" w:hAnsi="Times New Roman" w:cs="Times New Roman"/>
          <w:sz w:val="24"/>
          <w:szCs w:val="24"/>
        </w:rPr>
        <w:t xml:space="preserve">išspręsti šias esmines kliūtis: </w:t>
      </w:r>
    </w:p>
    <w:bookmarkEnd w:id="1"/>
    <w:p w14:paraId="75E14C6F" w14:textId="6753CE53" w:rsidR="0048193E" w:rsidRPr="00BC5E29" w:rsidRDefault="00E72AFA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51F3B0B" wp14:editId="3FE5456E">
            <wp:extent cx="5943600" cy="4048125"/>
            <wp:effectExtent l="0" t="0" r="0" b="9525"/>
            <wp:docPr id="12" name="Chart 12" descr="Chart type: Clustered Column. 'Field3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C6B5E2CB-93D7-41FA-BEB8-73C125FD724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3BEABC4A" w14:textId="57C44924" w:rsidR="00E72AFA" w:rsidRPr="00BC5E29" w:rsidRDefault="007F0054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 xml:space="preserve">Taip pat </w:t>
      </w:r>
      <w:r w:rsidR="00A36EDA" w:rsidRPr="00BC5E29">
        <w:rPr>
          <w:rFonts w:ascii="Times New Roman" w:hAnsi="Times New Roman" w:cs="Times New Roman"/>
          <w:sz w:val="24"/>
          <w:szCs w:val="24"/>
        </w:rPr>
        <w:t xml:space="preserve">apklausos rezultatai rodo, kad atverti </w:t>
      </w:r>
      <w:r w:rsidR="00BA6555" w:rsidRPr="00BC5E29">
        <w:rPr>
          <w:rFonts w:ascii="Times New Roman" w:hAnsi="Times New Roman" w:cs="Times New Roman"/>
          <w:sz w:val="24"/>
          <w:szCs w:val="24"/>
        </w:rPr>
        <w:t>duomen</w:t>
      </w:r>
      <w:r w:rsidR="00BA6555">
        <w:rPr>
          <w:rFonts w:ascii="Times New Roman" w:hAnsi="Times New Roman" w:cs="Times New Roman"/>
          <w:sz w:val="24"/>
          <w:szCs w:val="24"/>
        </w:rPr>
        <w:t>ų rinkinius</w:t>
      </w:r>
      <w:r w:rsidR="00BA6555" w:rsidRPr="00BC5E29">
        <w:rPr>
          <w:rFonts w:ascii="Times New Roman" w:hAnsi="Times New Roman" w:cs="Times New Roman"/>
          <w:sz w:val="24"/>
          <w:szCs w:val="24"/>
        </w:rPr>
        <w:t xml:space="preserve"> </w:t>
      </w:r>
      <w:r w:rsidR="00A36EDA" w:rsidRPr="00BC5E29">
        <w:rPr>
          <w:rFonts w:ascii="Times New Roman" w:hAnsi="Times New Roman" w:cs="Times New Roman"/>
          <w:sz w:val="24"/>
          <w:szCs w:val="24"/>
        </w:rPr>
        <w:t>paskatintų šie veiksniai:</w:t>
      </w:r>
    </w:p>
    <w:p w14:paraId="707BC332" w14:textId="7FFC5A26" w:rsidR="00633241" w:rsidRPr="00BC5E29" w:rsidRDefault="00DF6B3B" w:rsidP="00303B21">
      <w:pPr>
        <w:jc w:val="both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F1B61EA" wp14:editId="60A91E39">
            <wp:extent cx="6019800" cy="4124325"/>
            <wp:effectExtent l="0" t="0" r="0" b="9525"/>
            <wp:docPr id="14" name="Chart 14" descr="Chart type: Clustered Column. 'Field2'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68EDE19-E7E8-493E-ACE0-32CA5C999E3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7150CED5" w14:textId="441BBB4A" w:rsidR="00303B21" w:rsidRPr="00BC5E29" w:rsidRDefault="00303B21" w:rsidP="00303B2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ECCDBC" w14:textId="4725EFBF" w:rsidR="00303B21" w:rsidRPr="00BC5E29" w:rsidRDefault="00303B21" w:rsidP="00335ED7">
      <w:pPr>
        <w:jc w:val="center"/>
        <w:rPr>
          <w:rFonts w:ascii="Times New Roman" w:hAnsi="Times New Roman" w:cs="Times New Roman"/>
          <w:sz w:val="24"/>
          <w:szCs w:val="24"/>
        </w:rPr>
      </w:pPr>
      <w:r w:rsidRPr="00BC5E29">
        <w:rPr>
          <w:rFonts w:ascii="Times New Roman" w:hAnsi="Times New Roman" w:cs="Times New Roman"/>
          <w:sz w:val="24"/>
          <w:szCs w:val="24"/>
        </w:rPr>
        <w:t>____________</w:t>
      </w:r>
    </w:p>
    <w:sectPr w:rsidR="00303B21" w:rsidRPr="00BC5E29" w:rsidSect="008C1A2C">
      <w:footerReference w:type="default" r:id="rId21"/>
      <w:pgSz w:w="11906" w:h="16838"/>
      <w:pgMar w:top="709" w:right="849" w:bottom="284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8B381" w14:textId="77777777" w:rsidR="00D654BF" w:rsidRDefault="00D654BF" w:rsidP="00D654BF">
      <w:pPr>
        <w:spacing w:after="0" w:line="240" w:lineRule="auto"/>
      </w:pPr>
      <w:r>
        <w:separator/>
      </w:r>
    </w:p>
  </w:endnote>
  <w:endnote w:type="continuationSeparator" w:id="0">
    <w:p w14:paraId="4A23EE03" w14:textId="77777777" w:rsidR="00D654BF" w:rsidRDefault="00D654BF" w:rsidP="00D65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87982644"/>
      <w:docPartObj>
        <w:docPartGallery w:val="Page Numbers (Bottom of Page)"/>
        <w:docPartUnique/>
      </w:docPartObj>
    </w:sdtPr>
    <w:sdtEndPr/>
    <w:sdtContent>
      <w:p w14:paraId="1C590864" w14:textId="04BE8E9E" w:rsidR="00D654BF" w:rsidRDefault="00D654BF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24E9E93" w14:textId="77777777" w:rsidR="00D654BF" w:rsidRDefault="00D654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29F5B" w14:textId="77777777" w:rsidR="00D654BF" w:rsidRDefault="00D654BF" w:rsidP="00D654BF">
      <w:pPr>
        <w:spacing w:after="0" w:line="240" w:lineRule="auto"/>
      </w:pPr>
      <w:r>
        <w:separator/>
      </w:r>
    </w:p>
  </w:footnote>
  <w:footnote w:type="continuationSeparator" w:id="0">
    <w:p w14:paraId="7B877312" w14:textId="77777777" w:rsidR="00D654BF" w:rsidRDefault="00D654BF" w:rsidP="00D654B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BB9"/>
    <w:rsid w:val="00000119"/>
    <w:rsid w:val="000515DD"/>
    <w:rsid w:val="00071213"/>
    <w:rsid w:val="000B5BB9"/>
    <w:rsid w:val="000F49BF"/>
    <w:rsid w:val="00100B88"/>
    <w:rsid w:val="00136B6F"/>
    <w:rsid w:val="0018256B"/>
    <w:rsid w:val="001A46E4"/>
    <w:rsid w:val="001A4927"/>
    <w:rsid w:val="001C68D3"/>
    <w:rsid w:val="001D28D7"/>
    <w:rsid w:val="001E2CD5"/>
    <w:rsid w:val="001E5BE5"/>
    <w:rsid w:val="001F0CAB"/>
    <w:rsid w:val="001F4FE0"/>
    <w:rsid w:val="00262098"/>
    <w:rsid w:val="0026391B"/>
    <w:rsid w:val="00285699"/>
    <w:rsid w:val="0029690B"/>
    <w:rsid w:val="002D28A0"/>
    <w:rsid w:val="002D77D7"/>
    <w:rsid w:val="00303B21"/>
    <w:rsid w:val="00317319"/>
    <w:rsid w:val="00335ED7"/>
    <w:rsid w:val="00370C17"/>
    <w:rsid w:val="0037659D"/>
    <w:rsid w:val="00376BF9"/>
    <w:rsid w:val="003978E2"/>
    <w:rsid w:val="003F1D0C"/>
    <w:rsid w:val="003F6295"/>
    <w:rsid w:val="0040351E"/>
    <w:rsid w:val="0041081A"/>
    <w:rsid w:val="00431013"/>
    <w:rsid w:val="00465663"/>
    <w:rsid w:val="0048193E"/>
    <w:rsid w:val="004B449C"/>
    <w:rsid w:val="004F6127"/>
    <w:rsid w:val="004F6B6A"/>
    <w:rsid w:val="00503979"/>
    <w:rsid w:val="00535235"/>
    <w:rsid w:val="0056249C"/>
    <w:rsid w:val="00574D95"/>
    <w:rsid w:val="005C33ED"/>
    <w:rsid w:val="0061356A"/>
    <w:rsid w:val="0061489B"/>
    <w:rsid w:val="00633241"/>
    <w:rsid w:val="006652DE"/>
    <w:rsid w:val="00671ED4"/>
    <w:rsid w:val="006803ED"/>
    <w:rsid w:val="00690781"/>
    <w:rsid w:val="006B3F12"/>
    <w:rsid w:val="006E249A"/>
    <w:rsid w:val="006F2C83"/>
    <w:rsid w:val="0072496A"/>
    <w:rsid w:val="00734E72"/>
    <w:rsid w:val="007C4BFA"/>
    <w:rsid w:val="007D3145"/>
    <w:rsid w:val="007D6BE2"/>
    <w:rsid w:val="007E5720"/>
    <w:rsid w:val="007F0054"/>
    <w:rsid w:val="00803EA2"/>
    <w:rsid w:val="00816284"/>
    <w:rsid w:val="00831281"/>
    <w:rsid w:val="0085197C"/>
    <w:rsid w:val="008641F4"/>
    <w:rsid w:val="008671C9"/>
    <w:rsid w:val="008775B1"/>
    <w:rsid w:val="008B5631"/>
    <w:rsid w:val="008C1A2C"/>
    <w:rsid w:val="008F31EF"/>
    <w:rsid w:val="00914656"/>
    <w:rsid w:val="009322AB"/>
    <w:rsid w:val="00966AEC"/>
    <w:rsid w:val="009A4A06"/>
    <w:rsid w:val="009B088F"/>
    <w:rsid w:val="009B0CBF"/>
    <w:rsid w:val="009E4AE2"/>
    <w:rsid w:val="009F79A3"/>
    <w:rsid w:val="00A36EDA"/>
    <w:rsid w:val="00A52F3D"/>
    <w:rsid w:val="00A61DA6"/>
    <w:rsid w:val="00A65FF9"/>
    <w:rsid w:val="00A81B65"/>
    <w:rsid w:val="00A94520"/>
    <w:rsid w:val="00A95931"/>
    <w:rsid w:val="00AE60D7"/>
    <w:rsid w:val="00B13CB0"/>
    <w:rsid w:val="00B27CCE"/>
    <w:rsid w:val="00B33781"/>
    <w:rsid w:val="00B66C95"/>
    <w:rsid w:val="00B831DA"/>
    <w:rsid w:val="00B96F13"/>
    <w:rsid w:val="00B975AB"/>
    <w:rsid w:val="00BA6555"/>
    <w:rsid w:val="00BC5E29"/>
    <w:rsid w:val="00BF603C"/>
    <w:rsid w:val="00C23E50"/>
    <w:rsid w:val="00C72851"/>
    <w:rsid w:val="00C937F3"/>
    <w:rsid w:val="00CA3014"/>
    <w:rsid w:val="00CC7D3D"/>
    <w:rsid w:val="00CD3B00"/>
    <w:rsid w:val="00D1271D"/>
    <w:rsid w:val="00D145C8"/>
    <w:rsid w:val="00D323F8"/>
    <w:rsid w:val="00D62F0D"/>
    <w:rsid w:val="00D64C5A"/>
    <w:rsid w:val="00D654BF"/>
    <w:rsid w:val="00D67EE5"/>
    <w:rsid w:val="00DA4E98"/>
    <w:rsid w:val="00DB650A"/>
    <w:rsid w:val="00DD26E4"/>
    <w:rsid w:val="00DE52C8"/>
    <w:rsid w:val="00DF6B3B"/>
    <w:rsid w:val="00E0413C"/>
    <w:rsid w:val="00E33ACC"/>
    <w:rsid w:val="00E56A62"/>
    <w:rsid w:val="00E62E09"/>
    <w:rsid w:val="00E72AFA"/>
    <w:rsid w:val="00E80408"/>
    <w:rsid w:val="00E870DB"/>
    <w:rsid w:val="00EB249D"/>
    <w:rsid w:val="00EC37D1"/>
    <w:rsid w:val="00EE6ED3"/>
    <w:rsid w:val="00F033CE"/>
    <w:rsid w:val="00F106DE"/>
    <w:rsid w:val="00F14C3C"/>
    <w:rsid w:val="00F50BD0"/>
    <w:rsid w:val="00F72457"/>
    <w:rsid w:val="00F8283E"/>
    <w:rsid w:val="00FE3F7C"/>
    <w:rsid w:val="00FE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D8888"/>
  <w15:chartTrackingRefBased/>
  <w15:docId w15:val="{8C5673B3-0D6F-41D6-BFD0-4B6B01F2B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23F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54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54BF"/>
  </w:style>
  <w:style w:type="paragraph" w:styleId="Footer">
    <w:name w:val="footer"/>
    <w:basedOn w:val="Normal"/>
    <w:link w:val="FooterChar"/>
    <w:uiPriority w:val="99"/>
    <w:unhideWhenUsed/>
    <w:rsid w:val="00D654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54BF"/>
  </w:style>
  <w:style w:type="paragraph" w:styleId="Revision">
    <w:name w:val="Revision"/>
    <w:hidden/>
    <w:uiPriority w:val="99"/>
    <w:semiHidden/>
    <w:rsid w:val="00B96F13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1E5BE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E5BE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E5BE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5B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5BE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13" Type="http://schemas.openxmlformats.org/officeDocument/2006/relationships/chart" Target="charts/chart8.xml"/><Relationship Id="rId18" Type="http://schemas.openxmlformats.org/officeDocument/2006/relationships/chart" Target="charts/chart13.xml"/><Relationship Id="rId3" Type="http://schemas.openxmlformats.org/officeDocument/2006/relationships/webSettings" Target="webSettings.xml"/><Relationship Id="rId21" Type="http://schemas.openxmlformats.org/officeDocument/2006/relationships/footer" Target="footer1.xml"/><Relationship Id="rId7" Type="http://schemas.openxmlformats.org/officeDocument/2006/relationships/chart" Target="charts/chart2.xml"/><Relationship Id="rId12" Type="http://schemas.openxmlformats.org/officeDocument/2006/relationships/chart" Target="charts/chart7.xml"/><Relationship Id="rId17" Type="http://schemas.openxmlformats.org/officeDocument/2006/relationships/chart" Target="charts/chart12.xml"/><Relationship Id="rId2" Type="http://schemas.openxmlformats.org/officeDocument/2006/relationships/settings" Target="settings.xml"/><Relationship Id="rId16" Type="http://schemas.openxmlformats.org/officeDocument/2006/relationships/chart" Target="charts/chart11.xml"/><Relationship Id="rId20" Type="http://schemas.openxmlformats.org/officeDocument/2006/relationships/chart" Target="charts/chart15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chart" Target="charts/chart6.xml"/><Relationship Id="rId5" Type="http://schemas.openxmlformats.org/officeDocument/2006/relationships/endnotes" Target="endnotes.xml"/><Relationship Id="rId15" Type="http://schemas.openxmlformats.org/officeDocument/2006/relationships/chart" Target="charts/chart10.xml"/><Relationship Id="rId23" Type="http://schemas.openxmlformats.org/officeDocument/2006/relationships/theme" Target="theme/theme1.xml"/><Relationship Id="rId10" Type="http://schemas.openxmlformats.org/officeDocument/2006/relationships/chart" Target="charts/chart5.xml"/><Relationship Id="rId19" Type="http://schemas.openxmlformats.org/officeDocument/2006/relationships/chart" Target="charts/chart14.xml"/><Relationship Id="rId4" Type="http://schemas.openxmlformats.org/officeDocument/2006/relationships/footnotes" Target="footnotes.xml"/><Relationship Id="rId9" Type="http://schemas.openxmlformats.org/officeDocument/2006/relationships/chart" Target="charts/chart4.xml"/><Relationship Id="rId14" Type="http://schemas.openxmlformats.org/officeDocument/2006/relationships/chart" Target="charts/chart9.xm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10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9.xml"/><Relationship Id="rId1" Type="http://schemas.microsoft.com/office/2011/relationships/chartStyle" Target="style9.xml"/><Relationship Id="rId4" Type="http://schemas.openxmlformats.org/officeDocument/2006/relationships/package" Target="../embeddings/Microsoft_Excel_Worksheet9.xlsx"/></Relationships>
</file>

<file path=word/charts/_rels/chart1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10.xml"/><Relationship Id="rId1" Type="http://schemas.microsoft.com/office/2011/relationships/chartStyle" Target="style10.xml"/><Relationship Id="rId4" Type="http://schemas.openxmlformats.org/officeDocument/2006/relationships/package" Target="../embeddings/Microsoft_Excel_Worksheet10.xlsx"/></Relationships>
</file>

<file path=word/charts/_rels/chart1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11.xml"/><Relationship Id="rId1" Type="http://schemas.microsoft.com/office/2011/relationships/chartStyle" Target="style11.xml"/><Relationship Id="rId4" Type="http://schemas.openxmlformats.org/officeDocument/2006/relationships/package" Target="../embeddings/Microsoft_Excel_Worksheet11.xlsx"/></Relationships>
</file>

<file path=word/charts/_rels/chart1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12.xml"/><Relationship Id="rId1" Type="http://schemas.microsoft.com/office/2011/relationships/chartStyle" Target="style12.xml"/><Relationship Id="rId4" Type="http://schemas.openxmlformats.org/officeDocument/2006/relationships/package" Target="../embeddings/Microsoft_Excel_Worksheet12.xlsx"/></Relationships>
</file>

<file path=word/charts/_rels/chart1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3.xlsx"/><Relationship Id="rId2" Type="http://schemas.microsoft.com/office/2011/relationships/chartColorStyle" Target="colors13.xml"/><Relationship Id="rId1" Type="http://schemas.microsoft.com/office/2011/relationships/chartStyle" Target="style13.xml"/></Relationships>
</file>

<file path=word/charts/_rels/chart1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4.xlsx"/><Relationship Id="rId2" Type="http://schemas.microsoft.com/office/2011/relationships/chartColorStyle" Target="colors14.xml"/><Relationship Id="rId1" Type="http://schemas.microsoft.com/office/2011/relationships/chartStyle" Target="style14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8.xml"/><Relationship Id="rId1" Type="http://schemas.microsoft.com/office/2011/relationships/chartStyle" Target="style8.xml"/><Relationship Id="rId4" Type="http://schemas.openxmlformats.org/officeDocument/2006/relationships/package" Target="../embeddings/Microsoft_Excel_Worksheet8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 sz="1200"/>
              <a:t>Ar esate susipažinęs su duomenų atvėrimo iniciatyvomis (pvz., Atvirų duomenų portalu, teisės aktais, mokymų medžiaga ir kt.) ?</a:t>
            </a:r>
            <a:endParaRPr lang="en-US" sz="1200"/>
          </a:p>
        </c:rich>
      </c:tx>
      <c:layout>
        <c:manualLayout>
          <c:xMode val="edge"/>
          <c:yMode val="edge"/>
          <c:x val="0.16104177602799652"/>
          <c:y val="2.314814814814814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Percent</c:v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65E1-440F-B222-574B7DCDE30F}"/>
              </c:ext>
            </c:extLst>
          </c:dPt>
          <c:dPt>
            <c:idx val="1"/>
            <c:bubble3D val="0"/>
            <c:explosion val="8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65E1-440F-B222-574B7DCDE30F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'Egle. grafikai'!$A$3:$A$4</c:f>
              <c:strCache>
                <c:ptCount val="2"/>
                <c:pt idx="0">
                  <c:v>Ne</c:v>
                </c:pt>
                <c:pt idx="1">
                  <c:v>Taip</c:v>
                </c:pt>
              </c:strCache>
            </c:strRef>
          </c:cat>
          <c:val>
            <c:numRef>
              <c:f>'Egle. grafikai'!$B$3:$B$4</c:f>
              <c:numCache>
                <c:formatCode>####.0</c:formatCode>
                <c:ptCount val="2"/>
                <c:pt idx="0">
                  <c:v>31.446540880503143</c:v>
                </c:pt>
                <c:pt idx="1">
                  <c:v>68.55345911949685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65E1-440F-B222-574B7DCDE30F}"/>
            </c:ext>
          </c:extLst>
        </c:ser>
        <c:dLbls>
          <c:dLblPos val="in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Ar jūsų institucijos duomenys gali būti pakartotinai naudojami siekiant sukurti teigiamą ekonominį poveikį?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Frequency</c:v>
          </c:tx>
          <c:dPt>
            <c:idx val="0"/>
            <c:bubble3D val="0"/>
            <c:explosion val="6"/>
            <c:spPr>
              <a:solidFill>
                <a:schemeClr val="accent1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0B28-4F8E-BCFD-177EF9E93DF2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0B28-4F8E-BCFD-177EF9E93DF2}"/>
              </c:ext>
            </c:extLst>
          </c:dPt>
          <c:dPt>
            <c:idx val="2"/>
            <c:bubble3D val="0"/>
            <c:explosion val="1"/>
            <c:spPr>
              <a:solidFill>
                <a:schemeClr val="accent3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0-0B28-4F8E-BCFD-177EF9E93DF2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94E2BEBB-372E-4036-A77A-1286A2DA0DA6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0B28-4F8E-BCFD-177EF9E93DF2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BB92D711-BEB0-475D-8863-BDC4D394024E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0B28-4F8E-BCFD-177EF9E93DF2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FE41AF2F-8FCD-4124-A187-FBD8077AA13B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0B28-4F8E-BCFD-177EF9E93DF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Pasiskirstymas_0927!$A$453:$A$455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Nežinome</c:v>
                </c:pt>
              </c:strCache>
            </c:strRef>
          </c:cat>
          <c:val>
            <c:numRef>
              <c:f>Pasiskirstymas_0927!$B$453:$B$455</c:f>
              <c:numCache>
                <c:formatCode>###0</c:formatCode>
                <c:ptCount val="3"/>
                <c:pt idx="0">
                  <c:v>33</c:v>
                </c:pt>
                <c:pt idx="1">
                  <c:v>24</c:v>
                </c:pt>
                <c:pt idx="2" formatCode="General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2B4-435B-BA28-D5C7D4AA5965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4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Ar jūsų institucijos duomenys gali būti pakartotinai naudojami siekiant sukurti teigiamą socialinį poveikį?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Frequency</c:v>
          </c:tx>
          <c:dPt>
            <c:idx val="0"/>
            <c:bubble3D val="0"/>
            <c:explosion val="8"/>
            <c:spPr>
              <a:solidFill>
                <a:schemeClr val="accent1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0-499B-4770-A535-18FB6187F41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499B-4770-A535-18FB6187F41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499B-4770-A535-18FB6187F417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709EC325-4865-4E8D-834B-389D99A40C32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499B-4770-A535-18FB6187F417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F6ED9FA9-958A-4D47-827F-0477E3DA5BA8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499B-4770-A535-18FB6187F417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D3DA903F-258B-4D2D-951E-1E5380345235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499B-4770-A535-18FB6187F417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Pasiskirstymas_0927!$A$471:$A$473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Nežinome</c:v>
                </c:pt>
              </c:strCache>
            </c:strRef>
          </c:cat>
          <c:val>
            <c:numRef>
              <c:f>Pasiskirstymas_0927!$B$471:$B$473</c:f>
              <c:numCache>
                <c:formatCode>###0</c:formatCode>
                <c:ptCount val="3"/>
                <c:pt idx="0">
                  <c:v>45</c:v>
                </c:pt>
                <c:pt idx="1">
                  <c:v>13</c:v>
                </c:pt>
                <c:pt idx="2" formatCode="General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C14-40CC-A93D-821552A2A209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4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Ar jūsų institucijos duomenys gali būti pakartotinai naudojami siekiant sukurti teigiamą politinį poveikį?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Frequency</c:v>
          </c:tx>
          <c:dPt>
            <c:idx val="0"/>
            <c:bubble3D val="0"/>
            <c:explosion val="5"/>
            <c:spPr>
              <a:solidFill>
                <a:schemeClr val="accent1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0-55BC-444A-83A4-8483FFAB655F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55BC-444A-83A4-8483FFAB655F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55BC-444A-83A4-8483FFAB655F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87F877DD-D1A4-4570-90B0-AD5F701A65DE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55BC-444A-83A4-8483FFAB655F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7D169BB9-71B4-4DF0-BE69-23E7EA94BC43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55BC-444A-83A4-8483FFAB655F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DF847884-52F3-4A4B-B0F6-2B06B2A78E91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55BC-444A-83A4-8483FFAB655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Pasiskirstymas_0927!$A$491:$A$493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Nežinome</c:v>
                </c:pt>
              </c:strCache>
            </c:strRef>
          </c:cat>
          <c:val>
            <c:numRef>
              <c:f>Pasiskirstymas_0927!$B$491:$B$493</c:f>
              <c:numCache>
                <c:formatCode>###0</c:formatCode>
                <c:ptCount val="3"/>
                <c:pt idx="0">
                  <c:v>35</c:v>
                </c:pt>
                <c:pt idx="1">
                  <c:v>23</c:v>
                </c:pt>
                <c:pt idx="2" formatCode="General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ED8-4B0C-BBCF-1C0AB5B7F43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4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Ar jūsų institucijos duomenys gali būti pakartotinai naudojami siekiant teigiamo poveikio aplinkai?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Frequency</c:v>
          </c:tx>
          <c:dPt>
            <c:idx val="0"/>
            <c:bubble3D val="0"/>
            <c:explosion val="6"/>
            <c:spPr>
              <a:solidFill>
                <a:schemeClr val="accent1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A3F7-448B-8FC0-F87DA30E95C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A3F7-448B-8FC0-F87DA30E95C8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A3F7-448B-8FC0-F87DA30E95C8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1FFEACDD-45F7-47A0-AB41-184F32DA1BD9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A3F7-448B-8FC0-F87DA30E95C8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5778C229-F2FB-41B9-9744-C0178C3D34F9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A3F7-448B-8FC0-F87DA30E95C8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9E30B5D5-757B-44DC-B10F-176C146F2CBE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A3F7-448B-8FC0-F87DA30E95C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Pasiskirstymas_0927!$A$433:$A$435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Nežinome</c:v>
                </c:pt>
              </c:strCache>
            </c:strRef>
          </c:cat>
          <c:val>
            <c:numRef>
              <c:f>Pasiskirstymas_0927!$B$433:$B$435</c:f>
              <c:numCache>
                <c:formatCode>###0</c:formatCode>
                <c:ptCount val="3"/>
                <c:pt idx="0">
                  <c:v>26</c:v>
                </c:pt>
                <c:pt idx="1">
                  <c:v>35</c:v>
                </c:pt>
                <c:pt idx="2" formatCode="General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3F7-448B-8FC0-F87DA30E95C8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4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Jūsų nuomone, kokios yra esminės duomenų atvėrimo kliūtys/iššūkiai valstybės mastu?</a:t>
            </a:r>
            <a:endParaRPr lang="en-US"/>
          </a:p>
        </c:rich>
      </c:tx>
      <c:layout>
        <c:manualLayout>
          <c:xMode val="edge"/>
          <c:yMode val="edge"/>
          <c:x val="0.18288633461047252"/>
          <c:y val="2.704307549791570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Field3</c:v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strRef>
              <c:f>Pasiskirstymas!$A$523:$A$527</c:f>
              <c:strCache>
                <c:ptCount val="5"/>
                <c:pt idx="0">
                  <c:v>Darbuotojų, išmanančių duomenų atvėrimą, trūkumas</c:v>
                </c:pt>
                <c:pt idx="1">
                  <c:v>Finansavimo trūkumas</c:v>
                </c:pt>
                <c:pt idx="2">
                  <c:v>Mokymų trūkumas</c:v>
                </c:pt>
                <c:pt idx="3">
                  <c:v>Nepakankamas resursų, dėmesio duomenų atvėrimui skyrimas institucijose</c:v>
                </c:pt>
                <c:pt idx="4">
                  <c:v>Kita</c:v>
                </c:pt>
              </c:strCache>
            </c:strRef>
          </c:cat>
          <c:val>
            <c:numRef>
              <c:f>Pasiskirstymas!$C$523:$C$527</c:f>
              <c:numCache>
                <c:formatCode>####.0</c:formatCode>
                <c:ptCount val="5"/>
                <c:pt idx="0">
                  <c:v>67.924528301886795</c:v>
                </c:pt>
                <c:pt idx="1">
                  <c:v>38.364779874213838</c:v>
                </c:pt>
                <c:pt idx="2">
                  <c:v>45.283018867924525</c:v>
                </c:pt>
                <c:pt idx="3">
                  <c:v>60.377358490566039</c:v>
                </c:pt>
                <c:pt idx="4">
                  <c:v>20.100000000000001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78B-4449-B12E-EF6CC00FA46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134419791"/>
        <c:axId val="1134418959"/>
      </c:barChart>
      <c:catAx>
        <c:axId val="113441979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34418959"/>
        <c:crossesAt val="0"/>
        <c:auto val="1"/>
        <c:lblAlgn val="ctr"/>
        <c:lblOffset val="100"/>
        <c:noMultiLvlLbl val="0"/>
      </c:catAx>
      <c:valAx>
        <c:axId val="1134418959"/>
        <c:scaling>
          <c:orientation val="minMax"/>
          <c:max val="8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3441979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Kas paskatintų Jūsų instituciją aktyviau atverti turimus duomenis?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Field2</c:v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cat>
            <c:strRef>
              <c:f>Pasiskirstymas!$A$159:$A$162</c:f>
              <c:strCache>
                <c:ptCount val="4"/>
                <c:pt idx="0">
                  <c:v>Pagalba ir patarimai techniniais klausimai</c:v>
                </c:pt>
                <c:pt idx="1">
                  <c:v>Pagalba ir patarimai veiklos/planavimo klausimais</c:v>
                </c:pt>
                <c:pt idx="2">
                  <c:v>Duomenų poreikio gavimas iš duomenų vartotojų </c:v>
                </c:pt>
                <c:pt idx="3">
                  <c:v>Kita</c:v>
                </c:pt>
              </c:strCache>
            </c:strRef>
          </c:cat>
          <c:val>
            <c:numRef>
              <c:f>Pasiskirstymas!$B$159:$B$162</c:f>
              <c:numCache>
                <c:formatCode>###0</c:formatCode>
                <c:ptCount val="4"/>
                <c:pt idx="0">
                  <c:v>87</c:v>
                </c:pt>
                <c:pt idx="1">
                  <c:v>60</c:v>
                </c:pt>
                <c:pt idx="2">
                  <c:v>97</c:v>
                </c:pt>
                <c:pt idx="3" formatCode="General">
                  <c:v>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BE2-452B-ACF4-11479145F75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146737391"/>
        <c:axId val="1146737807"/>
      </c:barChart>
      <c:catAx>
        <c:axId val="114673739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46737807"/>
        <c:crosses val="autoZero"/>
        <c:auto val="1"/>
        <c:lblAlgn val="ctr"/>
        <c:lblOffset val="100"/>
        <c:noMultiLvlLbl val="0"/>
      </c:catAx>
      <c:valAx>
        <c:axId val="114673780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46737391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Apie duomenų atvėrimo iniciatyvas sužinojau iš: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ivotFmts>
      <c:pivotFmt>
        <c:idx val="0"/>
        <c:dLbl>
          <c:idx val="0"/>
          <c:showLegendKey val="0"/>
          <c:showVal val="0"/>
          <c:showCatName val="0"/>
          <c:showSerName val="0"/>
          <c:showPercent val="0"/>
          <c:showBubbleSize val="0"/>
          <c:extLst>
            <c:ext xmlns:c15="http://schemas.microsoft.com/office/drawing/2012/chart" uri="{CE6537A1-D6FC-4f65-9D91-7224C49458BB}"/>
          </c:extLst>
        </c:dLbl>
      </c:pivotFmt>
      <c:pivotFmt>
        <c:idx val="1"/>
      </c:pivotFmt>
      <c:pivotFmt>
        <c:idx val="2"/>
      </c:pivotFmt>
      <c:pivotFmt>
        <c:idx val="3"/>
        <c:dLbl>
          <c:idx val="0"/>
          <c:showLegendKey val="0"/>
          <c:showVal val="0"/>
          <c:showCatName val="0"/>
          <c:showSerName val="0"/>
          <c:showPercent val="0"/>
          <c:showBubbleSize val="0"/>
          <c:extLst>
            <c:ext xmlns:c15="http://schemas.microsoft.com/office/drawing/2012/chart" uri="{CE6537A1-D6FC-4f65-9D91-7224C49458BB}"/>
          </c:extLst>
        </c:dLbl>
      </c:pivotFmt>
      <c:pivotFmt>
        <c:idx val="4"/>
      </c:pivotFmt>
      <c:pivotFmt>
        <c:idx val="5"/>
        <c:spPr>
          <a:solidFill>
            <a:schemeClr val="accent1"/>
          </a:solidFill>
          <a:ln>
            <a:noFill/>
          </a:ln>
          <a:effectLst/>
        </c:spPr>
        <c:marker>
          <c:symbol val="none"/>
        </c:marker>
        <c:dLbl>
          <c:idx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lIns="38100" tIns="19050" rIns="38100" bIns="19050" anchor="ctr" anchorCtr="1">
              <a:spAutoFit/>
            </a:bodyPr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75000"/>
                      <a:lumOff val="2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lt-LT"/>
            </a:p>
          </c:txPr>
          <c:dLblPos val="inEnd"/>
          <c:showLegendKey val="0"/>
          <c:showVal val="1"/>
          <c:showCatName val="0"/>
          <c:showSerName val="0"/>
          <c:showPercent val="0"/>
          <c:showBubbleSize val="0"/>
          <c:extLst>
            <c:ext xmlns:c15="http://schemas.microsoft.com/office/drawing/2012/chart" uri="{CE6537A1-D6FC-4f65-9D91-7224C49458BB}"/>
          </c:extLst>
        </c:dLbl>
      </c:pivotFmt>
      <c:pivotFmt>
        <c:idx val="6"/>
      </c:pivotFmt>
    </c:pivotFmts>
    <c:plotArea>
      <c:layout/>
      <c:barChart>
        <c:barDir val="bar"/>
        <c:grouping val="clustered"/>
        <c:varyColors val="0"/>
        <c:ser>
          <c:idx val="0"/>
          <c:order val="0"/>
          <c:tx>
            <c:v>Total</c:v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Pt>
            <c:idx val="0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0-A439-4F20-9236-47899A965A5C}"/>
              </c:ext>
            </c:extLst>
          </c:dPt>
          <c:dLbls>
            <c:delete val="1"/>
          </c:dLbls>
          <c:cat>
            <c:strLit>
              <c:ptCount val="6"/>
              <c:pt idx="0">
                <c:v>Informacinių raštų (Vyriausybė/ EIMIN/ IVPK /Statistikos departamentas ir kt.)</c:v>
              </c:pt>
              <c:pt idx="1">
                <c:v>Atvirų duomenų renginių/ mokymų metu</c:v>
              </c:pt>
              <c:pt idx="2">
                <c:v>Teisės aktų</c:v>
              </c:pt>
              <c:pt idx="3">
                <c:v>Institucijos vadovybės</c:v>
              </c:pt>
              <c:pt idx="4">
                <c:v>Dalyvaujant IVPK vykdomų projektų metu</c:v>
              </c:pt>
              <c:pt idx="5">
                <c:v>Kita</c:v>
              </c:pt>
            </c:strLit>
          </c:cat>
          <c:val>
            <c:numLit>
              <c:formatCode>General</c:formatCode>
              <c:ptCount val="6"/>
              <c:pt idx="0">
                <c:v>54.716981132075503</c:v>
              </c:pt>
              <c:pt idx="1">
                <c:v>28.930817610062899</c:v>
              </c:pt>
              <c:pt idx="2">
                <c:v>27.6729559748428</c:v>
              </c:pt>
              <c:pt idx="3">
                <c:v>14.4654088050314</c:v>
              </c:pt>
              <c:pt idx="4">
                <c:v>12.578616352201299</c:v>
              </c:pt>
              <c:pt idx="5">
                <c:v>0.62893081761006298</c:v>
              </c:pt>
            </c:numLit>
          </c:val>
          <c:extLst>
            <c:ext xmlns:c16="http://schemas.microsoft.com/office/drawing/2014/chart" uri="{C3380CC4-5D6E-409C-BE32-E72D297353CC}">
              <c16:uniqueId val="{00000001-A439-4F20-9236-47899A965A5C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115"/>
        <c:overlap val="-20"/>
        <c:axId val="1801494399"/>
        <c:axId val="1142550047"/>
      </c:barChart>
      <c:catAx>
        <c:axId val="1801494399"/>
        <c:scaling>
          <c:orientation val="maxMin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42550047"/>
        <c:crosses val="autoZero"/>
        <c:auto val="1"/>
        <c:lblAlgn val="ctr"/>
        <c:lblOffset val="100"/>
        <c:noMultiLvlLbl val="0"/>
      </c:catAx>
      <c:valAx>
        <c:axId val="1142550047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Proc.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lt-LT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801494399"/>
        <c:crosses val="max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  <c:extLst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Kiek duomenų rinkinių Jūsų organizacija yra inventorizavusi?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Percent</c:v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A2DA-4148-844B-910E5412C325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A2DA-4148-844B-910E5412C325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A2DA-4148-844B-910E5412C325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7-A2DA-4148-844B-910E5412C325}"/>
              </c:ext>
            </c:extLst>
          </c:dPt>
          <c:dPt>
            <c:idx val="4"/>
            <c:bubble3D val="0"/>
            <c:explosion val="4"/>
            <c:spPr>
              <a:solidFill>
                <a:schemeClr val="accent5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9-A2DA-4148-844B-910E5412C325}"/>
              </c:ext>
            </c:extLst>
          </c:dPt>
          <c:dLbls>
            <c:dLbl>
              <c:idx val="0"/>
              <c:layout>
                <c:manualLayout>
                  <c:x val="-4.441528142315544E-3"/>
                  <c:y val="6.0157998768672435E-2"/>
                </c:manualLayout>
              </c:layout>
              <c:tx>
                <c:rich>
                  <a:bodyPr/>
                  <a:lstStyle/>
                  <a:p>
                    <a:fld id="{011C046B-1822-43D9-9520-6193B6DDA577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A2DA-4148-844B-910E5412C325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2BF8A10D-D889-4797-A8A5-9F08BC397C1E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A2DA-4148-844B-910E5412C325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FB39B5AA-DC9D-4F7B-AFBB-148B9A00CB50}" type="PERCENTAGE">
                      <a:rPr lang="en-US"/>
                      <a:pPr/>
                      <a:t>[PERCENTAGE]</a:t>
                    </a:fld>
                    <a:r>
                      <a:rPr lang="en-US"/>
                      <a:t> 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A2DA-4148-844B-910E5412C325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721625FE-3A5E-46C5-96C8-CF8A9066CD3D}" type="PERCENTAGE">
                      <a:rPr lang="en-US"/>
                      <a:pPr/>
                      <a:t>[PERCENTAGE]</a:t>
                    </a:fld>
                    <a:r>
                      <a:rPr lang="en-US"/>
                      <a:t> 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A2DA-4148-844B-910E5412C325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fld id="{FD374A96-819A-4760-8DCA-C362CB2FAC0F}" type="PERCENTAGE">
                      <a:rPr lang="en-US"/>
                      <a:pPr/>
                      <a:t>[PERCENTAGE]</a:t>
                    </a:fld>
                    <a:r>
                      <a:rPr lang="en-US"/>
                      <a:t>.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A2DA-4148-844B-910E5412C325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Pasiskirstymas_0927!$A$46:$A$50</c:f>
              <c:strCache>
                <c:ptCount val="5"/>
                <c:pt idx="0">
                  <c:v>16-25 duomenų rinkinių</c:v>
                </c:pt>
                <c:pt idx="1">
                  <c:v>26 ir daugiau duomenų rinkinių</c:v>
                </c:pt>
                <c:pt idx="2">
                  <c:v>6-15 duomenų rinkinių</c:v>
                </c:pt>
                <c:pt idx="3">
                  <c:v>Iki 5 duomenų rinkinių</c:v>
                </c:pt>
                <c:pt idx="4">
                  <c:v>Nei vieno</c:v>
                </c:pt>
              </c:strCache>
            </c:strRef>
          </c:cat>
          <c:val>
            <c:numRef>
              <c:f>Pasiskirstymas_0927!$C$46:$C$50</c:f>
              <c:numCache>
                <c:formatCode>####.0</c:formatCode>
                <c:ptCount val="5"/>
                <c:pt idx="0">
                  <c:v>1.8181818181818181</c:v>
                </c:pt>
                <c:pt idx="1">
                  <c:v>7.8787878787878789</c:v>
                </c:pt>
                <c:pt idx="2">
                  <c:v>11.515151515151516</c:v>
                </c:pt>
                <c:pt idx="3">
                  <c:v>28.484848484848484</c:v>
                </c:pt>
                <c:pt idx="4">
                  <c:v>50.303030303030305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A2DA-4148-844B-910E5412C325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Kiek duomenų rinkinių Jūsų organizacija yra atvėrusi?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pieChart>
        <c:varyColors val="1"/>
        <c:ser>
          <c:idx val="0"/>
          <c:order val="0"/>
          <c:tx>
            <c:v>Field2</c:v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E186-4859-B55B-4042561937D1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2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2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2-E186-4859-B55B-4042561937D1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3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3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E186-4859-B55B-4042561937D1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4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4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4-E186-4859-B55B-4042561937D1}"/>
              </c:ext>
            </c:extLst>
          </c:dPt>
          <c:dPt>
            <c:idx val="4"/>
            <c:bubble3D val="0"/>
            <c:explosion val="6"/>
            <c:spPr>
              <a:gradFill rotWithShape="1">
                <a:gsLst>
                  <a:gs pos="0">
                    <a:schemeClr val="accent5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5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5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0-E186-4859-B55B-4042561937D1}"/>
              </c:ext>
            </c:extLst>
          </c:dPt>
          <c:dLbls>
            <c:dLbl>
              <c:idx val="0"/>
              <c:layout>
                <c:manualLayout>
                  <c:x val="-4.980763274155948E-3"/>
                  <c:y val="6.1737386993292502E-2"/>
                </c:manualLayout>
              </c:layout>
              <c:tx>
                <c:rich>
                  <a:bodyPr/>
                  <a:lstStyle/>
                  <a:p>
                    <a:fld id="{0F0EE2AE-8ED8-491E-BF6E-D343B4490B33}" type="PERCENTAGE">
                      <a:rPr lang="en-US"/>
                      <a:pPr/>
                      <a:t>[PERCENTAGE]</a:t>
                    </a:fld>
                    <a:r>
                      <a:rPr lang="en-US"/>
                      <a:t>.</a:t>
                    </a:r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E186-4859-B55B-4042561937D1}"/>
                </c:ext>
              </c:extLst>
            </c:dLbl>
            <c:dLbl>
              <c:idx val="1"/>
              <c:layout>
                <c:manualLayout>
                  <c:x val="-6.9659607766420495E-2"/>
                  <c:y val="8.3333333333333329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fld id="{D4438394-81C3-4743-9BD0-6001F938CB88}" type="PERCENTAGE">
                      <a:rPr lang="en-US"/>
                      <a:pPr>
                        <a:defRPr/>
                      </a:pPr>
                      <a:t>[PERCENTAGE]</a:t>
                    </a:fld>
                    <a:endParaRPr lang="lt-LT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lt-LT"/>
                </a:p>
              </c:tx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0.13366611203549639"/>
                      <c:h val="8.1239530988274702E-2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E186-4859-B55B-4042561937D1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BBA57F9B-EB64-4FD8-A2D1-EF8E1B50C65E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E186-4859-B55B-4042561937D1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fld id="{7742D970-8A1B-4D79-A0FF-539F13E541B0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E186-4859-B55B-4042561937D1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fld id="{E83CEDEF-B341-413F-9473-3915E5AF8279}" type="PERCENTAGE">
                      <a:rPr lang="en-US"/>
                      <a:pPr/>
                      <a:t>[PERCENTAGE]</a:t>
                    </a:fld>
                    <a:endParaRPr lang="lt-LT"/>
                  </a:p>
                </c:rich>
              </c:tx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0-E186-4859-B55B-4042561937D1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lt-LT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'Egle. grafikai'!$A$44:$A$48</c:f>
              <c:strCache>
                <c:ptCount val="5"/>
                <c:pt idx="0">
                  <c:v>16-25 duomenų rinkinių</c:v>
                </c:pt>
                <c:pt idx="1">
                  <c:v>26 ir daugiau duomenų rinkinių</c:v>
                </c:pt>
                <c:pt idx="2">
                  <c:v>6-15 duomenų rinkinių</c:v>
                </c:pt>
                <c:pt idx="3">
                  <c:v>Iki 5 duomenų rinkinių</c:v>
                </c:pt>
                <c:pt idx="4">
                  <c:v>Nei vieno</c:v>
                </c:pt>
              </c:strCache>
            </c:strRef>
          </c:cat>
          <c:val>
            <c:numRef>
              <c:f>'Egle. grafikai'!$B$44:$B$48</c:f>
              <c:numCache>
                <c:formatCode>####.0</c:formatCode>
                <c:ptCount val="5"/>
                <c:pt idx="0">
                  <c:v>1.8867924528301887</c:v>
                </c:pt>
                <c:pt idx="1">
                  <c:v>6.2893081761006293</c:v>
                </c:pt>
                <c:pt idx="2">
                  <c:v>11.320754716981131</c:v>
                </c:pt>
                <c:pt idx="3">
                  <c:v>28.30188679245283</c:v>
                </c:pt>
                <c:pt idx="4">
                  <c:v>52.20125786163522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2A2-445D-AED5-7554EE4BFA89}"/>
            </c:ext>
          </c:extLst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Ar Jūsų institucija planuoja atverti duomenis per artimiausius  metus?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Field2</c:v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440C-49EC-BD85-C5288B5C72FB}"/>
              </c:ext>
            </c:extLst>
          </c:dPt>
          <c:dPt>
            <c:idx val="1"/>
            <c:invertIfNegative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440C-49EC-BD85-C5288B5C72FB}"/>
              </c:ext>
            </c:extLst>
          </c:dPt>
          <c:dPt>
            <c:idx val="2"/>
            <c:invertIfNegative val="0"/>
            <c:bubble3D val="0"/>
            <c:spPr>
              <a:gradFill rotWithShape="1">
                <a:gsLst>
                  <a:gs pos="0">
                    <a:schemeClr val="accent1">
                      <a:satMod val="103000"/>
                      <a:lumMod val="102000"/>
                      <a:tint val="94000"/>
                    </a:schemeClr>
                  </a:gs>
                  <a:gs pos="50000">
                    <a:schemeClr val="accent1">
                      <a:satMod val="110000"/>
                      <a:lumMod val="100000"/>
                      <a:shade val="100000"/>
                    </a:schemeClr>
                  </a:gs>
                  <a:gs pos="100000">
                    <a:schemeClr val="accent1">
                      <a:lumMod val="99000"/>
                      <a:satMod val="120000"/>
                      <a:shade val="78000"/>
                    </a:schemeClr>
                  </a:gs>
                </a:gsLst>
                <a:lin ang="5400000" scaled="0"/>
              </a:gra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440C-49EC-BD85-C5288B5C72FB}"/>
              </c:ext>
            </c:extLst>
          </c:dPt>
          <c:cat>
            <c:strRef>
              <c:f>'Egle. grafikai'!$A$238:$A$240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Dar svarstoma</c:v>
                </c:pt>
              </c:strCache>
            </c:strRef>
          </c:cat>
          <c:val>
            <c:numRef>
              <c:f>'Egle. grafikai'!$B$238:$B$240</c:f>
              <c:numCache>
                <c:formatCode>####.0</c:formatCode>
                <c:ptCount val="3"/>
                <c:pt idx="0">
                  <c:v>29.559748427672957</c:v>
                </c:pt>
                <c:pt idx="1">
                  <c:v>35.849056603773583</c:v>
                </c:pt>
                <c:pt idx="2">
                  <c:v>34.591194968553459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440C-49EC-BD85-C5288B5C72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1767212832"/>
        <c:axId val="1767215328"/>
      </c:barChart>
      <c:catAx>
        <c:axId val="176721283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767215328"/>
        <c:crosses val="autoZero"/>
        <c:auto val="1"/>
        <c:lblAlgn val="ctr"/>
        <c:lblOffset val="100"/>
        <c:noMultiLvlLbl val="0"/>
      </c:catAx>
      <c:valAx>
        <c:axId val="17672153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1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 b="0"/>
                  <a:t>Proc</a:t>
                </a:r>
                <a:r>
                  <a:rPr lang="lt-LT"/>
                  <a:t>. </a:t>
                </a:r>
              </a:p>
            </c:rich>
          </c:tx>
          <c:layout>
            <c:manualLayout>
              <c:xMode val="edge"/>
              <c:yMode val="edge"/>
              <c:x val="2.2668727460072129E-2"/>
              <c:y val="0.50897812288699373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1" i="0" u="none" strike="noStrike" kern="1200" baseline="0">
                  <a:solidFill>
                    <a:schemeClr val="tx2"/>
                  </a:solidFill>
                  <a:latin typeface="+mn-lt"/>
                  <a:ea typeface="+mn-ea"/>
                  <a:cs typeface="+mn-cs"/>
                </a:defRPr>
              </a:pPr>
              <a:endParaRPr lang="lt-LT"/>
            </a:p>
          </c:txPr>
        </c:title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76721283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Kokiu formatu yra atverti J</a:t>
            </a:r>
            <a:r>
              <a:rPr lang="lt-LT"/>
              <a:t>ūsų</a:t>
            </a:r>
            <a:r>
              <a:rPr lang="lt-LT" baseline="0"/>
              <a:t> organizacijos duomenys? 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tx>
            <c:v>Field2</c:v>
          </c:tx>
          <c:invertIfNegative val="0"/>
          <c:dLbls>
            <c:delete val="1"/>
          </c:dLbls>
          <c:cat>
            <c:strRef>
              <c:f>'Egle. grafikai'!$A$85:$A$90</c:f>
              <c:strCache>
                <c:ptCount val="6"/>
                <c:pt idx="0">
                  <c:v>Json, rdf </c:v>
                </c:pt>
                <c:pt idx="1">
                  <c:v>Csv </c:v>
                </c:pt>
                <c:pt idx="2">
                  <c:v>Xml/Html</c:v>
                </c:pt>
                <c:pt idx="3">
                  <c:v>Docx/xlsx/pdf/txt</c:v>
                </c:pt>
                <c:pt idx="4">
                  <c:v>Per vartotojo sąsają</c:v>
                </c:pt>
                <c:pt idx="5">
                  <c:v>Per API</c:v>
                </c:pt>
              </c:strCache>
            </c:strRef>
          </c:cat>
          <c:val>
            <c:numRef>
              <c:f>'Egle. grafikai'!$B$85:$B$90</c:f>
              <c:numCache>
                <c:formatCode>####.0</c:formatCode>
                <c:ptCount val="6"/>
                <c:pt idx="0">
                  <c:v>4.4000000000000004</c:v>
                </c:pt>
                <c:pt idx="1">
                  <c:v>14.5</c:v>
                </c:pt>
                <c:pt idx="2">
                  <c:v>10.691823899371069</c:v>
                </c:pt>
                <c:pt idx="3">
                  <c:v>16.352201257861637</c:v>
                </c:pt>
                <c:pt idx="4">
                  <c:v>0.62893081761006286</c:v>
                </c:pt>
                <c:pt idx="5" formatCode="General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221-4AD5-970F-424A5AC72EC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33"/>
        <c:overlap val="-30"/>
        <c:axId val="446661807"/>
        <c:axId val="446660143"/>
      </c:barChart>
      <c:catAx>
        <c:axId val="44666180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446660143"/>
        <c:crosses val="autoZero"/>
        <c:auto val="1"/>
        <c:lblAlgn val="ctr"/>
        <c:lblOffset val="100"/>
        <c:noMultiLvlLbl val="0"/>
      </c:catAx>
      <c:valAx>
        <c:axId val="44666014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/>
              <a:lstStyle/>
              <a:p>
                <a:pPr>
                  <a:defRPr/>
                </a:pPr>
                <a:r>
                  <a:rPr lang="lt-LT" b="0"/>
                  <a:t>Pro</a:t>
                </a:r>
                <a:r>
                  <a:rPr lang="lt-LT"/>
                  <a:t>c.</a:t>
                </a:r>
              </a:p>
            </c:rich>
          </c:tx>
          <c:overlay val="0"/>
        </c:title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446661807"/>
        <c:crosses val="autoZero"/>
        <c:crossBetween val="between"/>
      </c:valAx>
    </c:plotArea>
    <c:plotVisOnly val="1"/>
    <c:dispBlanksAs val="gap"/>
    <c:showDLblsOverMax val="0"/>
    <c:extLst/>
  </c:chart>
  <c:txPr>
    <a:bodyPr/>
    <a:lstStyle/>
    <a:p>
      <a:pPr>
        <a:defRPr/>
      </a:pPr>
      <a:endParaRPr lang="lt-LT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Kiek duomenų rinkinių planuojama atverti per artimiausius metus?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Field2</c:v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'Egle. grafikai'!$A$246:$A$249</c:f>
              <c:strCache>
                <c:ptCount val="4"/>
                <c:pt idx="0">
                  <c:v>Iki 5 duomenų rinkinių</c:v>
                </c:pt>
                <c:pt idx="1">
                  <c:v>6-15 duomenų rinkinių</c:v>
                </c:pt>
                <c:pt idx="2">
                  <c:v>26 ir daugiau duomenų rinkinių</c:v>
                </c:pt>
                <c:pt idx="3">
                  <c:v>16-25 duomenų rinkinių</c:v>
                </c:pt>
              </c:strCache>
            </c:strRef>
          </c:cat>
          <c:val>
            <c:numRef>
              <c:f>'Egle. grafikai'!$B$246:$B$249</c:f>
              <c:numCache>
                <c:formatCode>####.0</c:formatCode>
                <c:ptCount val="4"/>
                <c:pt idx="0">
                  <c:v>80.412371134020617</c:v>
                </c:pt>
                <c:pt idx="1">
                  <c:v>9.2783505154639183</c:v>
                </c:pt>
                <c:pt idx="2">
                  <c:v>4.1237113402061851</c:v>
                </c:pt>
                <c:pt idx="3">
                  <c:v>6.1855670103092786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DBA-41C4-9094-AC1F2E31802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3"/>
        <c:overlap val="-30"/>
        <c:axId val="1546805375"/>
        <c:axId val="1546812031"/>
      </c:barChart>
      <c:catAx>
        <c:axId val="154680537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546812031"/>
        <c:crosses val="autoZero"/>
        <c:auto val="1"/>
        <c:lblAlgn val="ctr"/>
        <c:lblOffset val="100"/>
        <c:noMultiLvlLbl val="0"/>
      </c:catAx>
      <c:valAx>
        <c:axId val="154681203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54680537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 Kaip planuojate atverti duomenis?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Field3</c:v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Pasiskirstymas!$A$256:$A$259</c:f>
              <c:strCache>
                <c:ptCount val="4"/>
                <c:pt idx="0">
                  <c:v>Savarankiškai (Institucijos darbuotojai)</c:v>
                </c:pt>
                <c:pt idx="1">
                  <c:v>Bendradarbiaujant su Statistikos departamentu</c:v>
                </c:pt>
                <c:pt idx="2">
                  <c:v>Bendradarbiaujant su Institucijos informacinės sistemos priežiūros  paslaugų teikėju</c:v>
                </c:pt>
                <c:pt idx="3">
                  <c:v>Kita</c:v>
                </c:pt>
              </c:strCache>
            </c:strRef>
          </c:cat>
          <c:val>
            <c:numRef>
              <c:f>Pasiskirstymas!$C$256:$C$259</c:f>
              <c:numCache>
                <c:formatCode>####.0</c:formatCode>
                <c:ptCount val="4"/>
                <c:pt idx="0">
                  <c:v>33.962264150943398</c:v>
                </c:pt>
                <c:pt idx="1">
                  <c:v>22.641509433962263</c:v>
                </c:pt>
                <c:pt idx="2">
                  <c:v>19.49685534591195</c:v>
                </c:pt>
                <c:pt idx="3">
                  <c:v>6.3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D33-4B12-912A-43D80FA515D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3"/>
        <c:overlap val="-30"/>
        <c:axId val="1214431759"/>
        <c:axId val="1214436751"/>
      </c:barChart>
      <c:catAx>
        <c:axId val="121443175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214436751"/>
        <c:crosses val="autoZero"/>
        <c:auto val="1"/>
        <c:lblAlgn val="ctr"/>
        <c:lblOffset val="100"/>
        <c:noMultiLvlLbl val="0"/>
      </c:catAx>
      <c:valAx>
        <c:axId val="121443675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214431759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/>
              <a:t>Kokį poveikį duomenų atvėrimas gali daryti/daro Jūsų institucijai?</a:t>
            </a:r>
            <a:endParaRPr lang="en-US"/>
          </a:p>
        </c:rich>
      </c:tx>
      <c:layout>
        <c:manualLayout>
          <c:xMode val="edge"/>
          <c:yMode val="edge"/>
          <c:x val="0.20691237642215549"/>
          <c:y val="2.9767441860465118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lt-LT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Percent</c:v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Pasiskirstymas_0927!$A$417:$A$421</c:f>
              <c:strCache>
                <c:ptCount val="5"/>
                <c:pt idx="0">
                  <c:v>Sutaupyti resursai duomenų teikimui pagal individualius paklausimus </c:v>
                </c:pt>
                <c:pt idx="1">
                  <c:v>Padidėjo pasitikėjimas institucija ir jos darbo vertinimas </c:v>
                </c:pt>
                <c:pt idx="2">
                  <c:v>Išsiplėtė duomenų panaudojimas naujose veiklose</c:v>
                </c:pt>
                <c:pt idx="3">
                  <c:v>Vidinis bendradarbiavimas/ geresnis įvairių departamentų tarpusavio supratimas</c:v>
                </c:pt>
                <c:pt idx="4">
                  <c:v>Duomenų inventorizavimas ir atvėrimo procesas išryškino duomenų valdymo svarbą ir poreikį tobulinti</c:v>
                </c:pt>
              </c:strCache>
            </c:strRef>
          </c:cat>
          <c:val>
            <c:numRef>
              <c:f>Pasiskirstymas_0927!$C$417:$C$421</c:f>
              <c:numCache>
                <c:formatCode>####.0</c:formatCode>
                <c:ptCount val="5"/>
                <c:pt idx="0">
                  <c:v>13.939393939393939</c:v>
                </c:pt>
                <c:pt idx="1">
                  <c:v>15.151515151515152</c:v>
                </c:pt>
                <c:pt idx="2">
                  <c:v>13.939393939393939</c:v>
                </c:pt>
                <c:pt idx="3">
                  <c:v>11.515151515151516</c:v>
                </c:pt>
                <c:pt idx="4">
                  <c:v>16.969696969696969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802-4D6C-903C-E24B20B6DA8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3"/>
        <c:overlap val="-30"/>
        <c:axId val="1139513728"/>
        <c:axId val="1139517888"/>
      </c:barChart>
      <c:catAx>
        <c:axId val="1139513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39517888"/>
        <c:crosses val="autoZero"/>
        <c:auto val="1"/>
        <c:lblAlgn val="ctr"/>
        <c:lblOffset val="100"/>
        <c:noMultiLvlLbl val="0"/>
      </c:catAx>
      <c:valAx>
        <c:axId val="11395178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Percent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lt-LT"/>
            </a:p>
          </c:txPr>
        </c:title>
        <c:numFmt formatCode="#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lt-LT"/>
          </a:p>
        </c:txPr>
        <c:crossAx val="113951372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lt-LT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44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10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14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34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ize="5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34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ize="5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07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  <a:lumOff val="2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2182</Words>
  <Characters>1244</Characters>
  <Application>Microsoft Office Word</Application>
  <DocSecurity>0</DocSecurity>
  <Lines>10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Eglė Čepaitienė</dc:creator>
  <cp:keywords/>
  <dc:description/>
  <cp:lastModifiedBy>Eglė Čepaitienė</cp:lastModifiedBy>
  <cp:revision>8</cp:revision>
  <dcterms:created xsi:type="dcterms:W3CDTF">2022-09-28T14:10:00Z</dcterms:created>
  <dcterms:modified xsi:type="dcterms:W3CDTF">2022-09-29T12:23:00Z</dcterms:modified>
</cp:coreProperties>
</file>